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04D4A" w14:textId="0C350D06" w:rsidR="00F058E8" w:rsidRPr="00E202D3" w:rsidRDefault="00F058E8" w:rsidP="00F058E8">
      <w:pPr>
        <w:tabs>
          <w:tab w:val="center" w:pos="4536"/>
          <w:tab w:val="right" w:pos="8280"/>
          <w:tab w:val="right" w:pos="9639"/>
        </w:tabs>
        <w:ind w:right="2"/>
        <w:rPr>
          <w:rFonts w:ascii="Arial" w:eastAsia="ＭＳ 明朝" w:hAnsi="Arial"/>
          <w:b/>
          <w:noProof/>
          <w:lang w:val="en-US"/>
        </w:rPr>
      </w:pPr>
      <w:bookmarkStart w:id="0" w:name="_Hlk7194408"/>
      <w:bookmarkStart w:id="1" w:name="OLE_LINK3"/>
      <w:r>
        <w:rPr>
          <w:rFonts w:ascii="Arial" w:eastAsia="ＭＳ 明朝" w:hAnsi="Arial"/>
          <w:b/>
          <w:noProof/>
          <w:lang w:val="en-US"/>
        </w:rPr>
        <w:t>3GPP TSG RAN WG1 #10</w:t>
      </w:r>
      <w:r>
        <w:rPr>
          <w:rFonts w:ascii="Arial" w:eastAsia="ＭＳ 明朝" w:hAnsi="Arial" w:hint="eastAsia"/>
          <w:b/>
          <w:noProof/>
          <w:lang w:val="en-US"/>
        </w:rPr>
        <w:t>8</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1661C7">
        <w:rPr>
          <w:rFonts w:ascii="Arial" w:eastAsia="ＭＳ 明朝" w:hAnsi="Arial"/>
          <w:b/>
          <w:noProof/>
          <w:lang w:val="en-US"/>
        </w:rPr>
        <w:t>R1-2</w:t>
      </w:r>
      <w:r w:rsidRPr="001661C7">
        <w:rPr>
          <w:rFonts w:ascii="Arial" w:eastAsia="ＭＳ 明朝" w:hAnsi="Arial" w:hint="eastAsia"/>
          <w:b/>
          <w:noProof/>
          <w:lang w:val="en-US"/>
        </w:rPr>
        <w:t>2</w:t>
      </w:r>
      <w:r w:rsidRPr="001661C7">
        <w:rPr>
          <w:rFonts w:ascii="Arial" w:eastAsia="ＭＳ 明朝" w:hAnsi="Arial"/>
          <w:b/>
          <w:noProof/>
          <w:lang w:val="en-US"/>
        </w:rPr>
        <w:t>0</w:t>
      </w:r>
      <w:r w:rsidR="006E3020">
        <w:rPr>
          <w:rFonts w:ascii="Arial" w:eastAsia="ＭＳ 明朝" w:hAnsi="Arial"/>
          <w:b/>
          <w:noProof/>
          <w:lang w:val="en-US"/>
        </w:rPr>
        <w:t>1478</w:t>
      </w:r>
    </w:p>
    <w:bookmarkEnd w:id="0"/>
    <w:p w14:paraId="11F1E9CD" w14:textId="77777777" w:rsidR="00F058E8" w:rsidRDefault="00F058E8" w:rsidP="00F058E8">
      <w:pPr>
        <w:tabs>
          <w:tab w:val="center" w:pos="4536"/>
          <w:tab w:val="right" w:pos="8280"/>
          <w:tab w:val="right" w:pos="9639"/>
        </w:tabs>
        <w:ind w:right="2"/>
        <w:rPr>
          <w:rFonts w:ascii="Arial" w:eastAsia="ＭＳ 明朝" w:hAnsi="Arial"/>
          <w:b/>
          <w:noProof/>
        </w:rPr>
      </w:pPr>
      <w:r w:rsidRPr="001A74FB">
        <w:rPr>
          <w:rFonts w:ascii="Arial" w:eastAsia="ＭＳ 明朝" w:hAnsi="Arial"/>
          <w:b/>
          <w:noProof/>
        </w:rPr>
        <w:t xml:space="preserve">e-Meeting, </w:t>
      </w:r>
      <w:r>
        <w:rPr>
          <w:rFonts w:ascii="Arial" w:eastAsia="ＭＳ 明朝" w:hAnsi="Arial"/>
          <w:b/>
          <w:noProof/>
        </w:rPr>
        <w:t>February 21st</w:t>
      </w:r>
      <w:r w:rsidRPr="001A74FB">
        <w:rPr>
          <w:rFonts w:ascii="Arial" w:eastAsia="ＭＳ 明朝" w:hAnsi="Arial"/>
          <w:b/>
          <w:noProof/>
        </w:rPr>
        <w:t xml:space="preserve"> – </w:t>
      </w:r>
      <w:r>
        <w:rPr>
          <w:rFonts w:ascii="Arial" w:eastAsia="ＭＳ 明朝" w:hAnsi="Arial"/>
          <w:b/>
          <w:noProof/>
        </w:rPr>
        <w:t>March 3rd</w:t>
      </w:r>
      <w:r w:rsidRPr="001A74FB">
        <w:rPr>
          <w:rFonts w:ascii="Arial" w:eastAsia="ＭＳ 明朝" w:hAnsi="Arial"/>
          <w:b/>
          <w:noProof/>
        </w:rPr>
        <w:t>, 202</w:t>
      </w:r>
      <w:r>
        <w:rPr>
          <w:rFonts w:ascii="Arial" w:eastAsia="ＭＳ 明朝" w:hAnsi="Arial"/>
          <w:b/>
          <w:noProof/>
        </w:rPr>
        <w:t>2</w:t>
      </w:r>
    </w:p>
    <w:p w14:paraId="28806336" w14:textId="77777777" w:rsidR="00B06F73" w:rsidRPr="00A077A0"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A077A0" w:rsidRDefault="00B06F73" w:rsidP="00B06F73">
      <w:pPr>
        <w:widowControl w:val="0"/>
        <w:ind w:left="1800" w:hanging="1800"/>
        <w:rPr>
          <w:rFonts w:ascii="Arial" w:eastAsia="ＭＳ 明朝" w:hAnsi="Arial"/>
          <w:b/>
          <w:noProof/>
          <w:lang w:val="en-US"/>
        </w:rPr>
      </w:pPr>
      <w:r w:rsidRPr="00A077A0">
        <w:rPr>
          <w:rFonts w:ascii="Arial" w:eastAsia="ＭＳ 明朝" w:hAnsi="Arial"/>
          <w:b/>
          <w:noProof/>
          <w:lang w:val="en-US" w:eastAsia="x-none"/>
        </w:rPr>
        <w:t>Source:</w:t>
      </w:r>
      <w:r w:rsidRPr="00A077A0">
        <w:rPr>
          <w:rFonts w:ascii="Arial" w:eastAsia="ＭＳ 明朝" w:hAnsi="Arial"/>
          <w:b/>
          <w:noProof/>
          <w:lang w:val="en-US" w:eastAsia="x-none"/>
        </w:rPr>
        <w:tab/>
        <w:t>NTT DOCOMO</w:t>
      </w:r>
      <w:r w:rsidRPr="00A077A0">
        <w:rPr>
          <w:rFonts w:ascii="Arial" w:eastAsia="ＭＳ 明朝" w:hAnsi="Arial"/>
          <w:b/>
          <w:noProof/>
          <w:lang w:val="en-US"/>
        </w:rPr>
        <w:t>, INC.</w:t>
      </w:r>
    </w:p>
    <w:bookmarkEnd w:id="1"/>
    <w:p w14:paraId="7F988B5B" w14:textId="7C8318D0" w:rsidR="00B06F73" w:rsidRPr="00A077A0" w:rsidRDefault="00B06F73" w:rsidP="00B06F73">
      <w:pPr>
        <w:pStyle w:val="a7"/>
        <w:ind w:left="1800" w:hanging="1800"/>
        <w:rPr>
          <w:sz w:val="24"/>
          <w:lang w:val="en-US" w:eastAsia="ja-JP"/>
        </w:rPr>
      </w:pPr>
      <w:r w:rsidRPr="00A077A0">
        <w:rPr>
          <w:sz w:val="24"/>
          <w:lang w:val="en-US"/>
        </w:rPr>
        <w:t>Title:</w:t>
      </w:r>
      <w:r w:rsidRPr="00A077A0">
        <w:rPr>
          <w:sz w:val="24"/>
          <w:lang w:val="en-US"/>
        </w:rPr>
        <w:tab/>
      </w:r>
      <w:bookmarkStart w:id="2" w:name="OLE_LINK8"/>
      <w:bookmarkStart w:id="3" w:name="OLE_LINK9"/>
      <w:bookmarkStart w:id="4" w:name="OLE_LINK21"/>
      <w:bookmarkStart w:id="5" w:name="OLE_LINK22"/>
      <w:r w:rsidR="00F058E8">
        <w:rPr>
          <w:sz w:val="24"/>
          <w:lang w:val="en-US"/>
        </w:rPr>
        <w:t>Remaining issues</w:t>
      </w:r>
      <w:r w:rsidR="00066D1C" w:rsidRPr="00A077A0">
        <w:rPr>
          <w:sz w:val="24"/>
          <w:lang w:val="en-US" w:eastAsia="ja-JP"/>
        </w:rPr>
        <w:t xml:space="preserve"> on HARQ enhancements for NR NTN</w:t>
      </w:r>
    </w:p>
    <w:bookmarkEnd w:id="2"/>
    <w:bookmarkEnd w:id="3"/>
    <w:bookmarkEnd w:id="4"/>
    <w:bookmarkEnd w:id="5"/>
    <w:p w14:paraId="1A271381" w14:textId="3BCACB2E" w:rsidR="00B06F73" w:rsidRPr="00A077A0" w:rsidRDefault="00B06F73" w:rsidP="00B06F73">
      <w:pPr>
        <w:pStyle w:val="a7"/>
        <w:tabs>
          <w:tab w:val="left" w:pos="1800"/>
        </w:tabs>
        <w:ind w:left="1800" w:hanging="1800"/>
        <w:rPr>
          <w:sz w:val="24"/>
          <w:lang w:val="en-US" w:eastAsia="ja-JP"/>
        </w:rPr>
      </w:pPr>
      <w:r w:rsidRPr="00A077A0">
        <w:rPr>
          <w:sz w:val="24"/>
          <w:lang w:val="en-US"/>
        </w:rPr>
        <w:t>Agenda Item:</w:t>
      </w:r>
      <w:bookmarkStart w:id="6" w:name="Source"/>
      <w:bookmarkEnd w:id="6"/>
      <w:r w:rsidRPr="00A077A0">
        <w:rPr>
          <w:sz w:val="24"/>
          <w:lang w:val="en-US"/>
        </w:rPr>
        <w:tab/>
      </w:r>
      <w:r w:rsidR="00066D1C" w:rsidRPr="00A077A0">
        <w:rPr>
          <w:sz w:val="24"/>
          <w:lang w:val="en-US" w:eastAsia="ja-JP"/>
        </w:rPr>
        <w:t>8.4.3</w:t>
      </w:r>
    </w:p>
    <w:p w14:paraId="6823EFA3" w14:textId="77777777" w:rsidR="00B06F73" w:rsidRPr="00A077A0" w:rsidRDefault="00B06F73" w:rsidP="00B06F73">
      <w:pPr>
        <w:pBdr>
          <w:bottom w:val="single" w:sz="6" w:space="1" w:color="auto"/>
        </w:pBdr>
        <w:ind w:left="1800" w:hanging="1800"/>
        <w:rPr>
          <w:rFonts w:ascii="Arial" w:hAnsi="Arial"/>
          <w:b/>
          <w:lang w:val="en-US"/>
        </w:rPr>
      </w:pPr>
      <w:r w:rsidRPr="00A077A0">
        <w:rPr>
          <w:rFonts w:ascii="Arial" w:hAnsi="Arial"/>
          <w:b/>
          <w:lang w:val="en-US"/>
        </w:rPr>
        <w:t>Document for:</w:t>
      </w:r>
      <w:bookmarkStart w:id="7" w:name="DocumentFor"/>
      <w:bookmarkEnd w:id="7"/>
      <w:r w:rsidRPr="00A077A0">
        <w:rPr>
          <w:rFonts w:ascii="Arial" w:hAnsi="Arial"/>
          <w:b/>
          <w:lang w:val="en-US"/>
        </w:rPr>
        <w:t xml:space="preserve"> </w:t>
      </w:r>
      <w:r w:rsidRPr="00A077A0">
        <w:rPr>
          <w:rFonts w:ascii="Arial" w:hAnsi="Arial"/>
          <w:b/>
          <w:lang w:val="en-US"/>
        </w:rPr>
        <w:tab/>
        <w:t>Discussion and Decision</w:t>
      </w:r>
    </w:p>
    <w:p w14:paraId="702AF45C" w14:textId="77777777" w:rsidR="008E3FC0" w:rsidRPr="00A077A0" w:rsidRDefault="001D2A61" w:rsidP="008E3FC0">
      <w:pPr>
        <w:pStyle w:val="1"/>
        <w:numPr>
          <w:ilvl w:val="0"/>
          <w:numId w:val="6"/>
        </w:numPr>
        <w:spacing w:after="120"/>
        <w:jc w:val="both"/>
        <w:rPr>
          <w:b/>
          <w:lang w:val="en-US"/>
        </w:rPr>
      </w:pPr>
      <w:r w:rsidRPr="00A077A0">
        <w:rPr>
          <w:b/>
          <w:lang w:val="en-US"/>
        </w:rPr>
        <w:t>Introduction</w:t>
      </w:r>
    </w:p>
    <w:p w14:paraId="3DD100F3" w14:textId="045444E7" w:rsidR="003F43B0" w:rsidRPr="00A077A0" w:rsidRDefault="006D45E4" w:rsidP="003F43B0">
      <w:pPr>
        <w:spacing w:beforeLines="50" w:before="120" w:afterLines="50" w:after="120"/>
        <w:jc w:val="both"/>
        <w:rPr>
          <w:rFonts w:eastAsiaTheme="minorEastAsia"/>
          <w:sz w:val="22"/>
          <w:lang w:val="en-US"/>
        </w:rPr>
      </w:pPr>
      <w:r w:rsidRPr="00A077A0">
        <w:rPr>
          <w:rFonts w:eastAsiaTheme="minorEastAsia"/>
          <w:sz w:val="22"/>
          <w:lang w:val="en-US"/>
        </w:rPr>
        <w:t>At the RAN1#10</w:t>
      </w:r>
      <w:r w:rsidR="00F058E8">
        <w:rPr>
          <w:rFonts w:eastAsiaTheme="minorEastAsia"/>
          <w:sz w:val="22"/>
          <w:lang w:val="en-US"/>
        </w:rPr>
        <w:t>7</w:t>
      </w:r>
      <w:r w:rsidR="000C3121" w:rsidRPr="00A077A0">
        <w:rPr>
          <w:rFonts w:eastAsiaTheme="minorEastAsia"/>
          <w:sz w:val="22"/>
          <w:lang w:val="en-US"/>
        </w:rPr>
        <w:t xml:space="preserve">-e meeting [1], there were discussions on </w:t>
      </w:r>
      <w:r w:rsidR="00BC33A9" w:rsidRPr="00A077A0">
        <w:rPr>
          <w:rFonts w:eastAsiaTheme="minorEastAsia"/>
          <w:sz w:val="22"/>
          <w:lang w:val="en-US"/>
        </w:rPr>
        <w:t>HARQ enhancements for NR NTN</w:t>
      </w:r>
      <w:r w:rsidR="000C3121" w:rsidRPr="00A077A0">
        <w:rPr>
          <w:rFonts w:eastAsiaTheme="minorEastAsia"/>
          <w:sz w:val="22"/>
          <w:lang w:val="en-US"/>
        </w:rPr>
        <w:t xml:space="preserve"> and several agreements were reached. In this contribution, we share our </w:t>
      </w:r>
      <w:r w:rsidR="00293FD8" w:rsidRPr="00A077A0">
        <w:rPr>
          <w:rFonts w:eastAsiaTheme="minorEastAsia"/>
          <w:sz w:val="22"/>
          <w:lang w:val="en-US"/>
        </w:rPr>
        <w:t xml:space="preserve">further </w:t>
      </w:r>
      <w:r w:rsidR="000C3121" w:rsidRPr="00A077A0">
        <w:rPr>
          <w:rFonts w:eastAsiaTheme="minorEastAsia"/>
          <w:sz w:val="22"/>
          <w:lang w:val="en-US"/>
        </w:rPr>
        <w:t xml:space="preserve">views </w:t>
      </w:r>
      <w:r w:rsidR="00F058E8">
        <w:rPr>
          <w:rFonts w:eastAsiaTheme="minorEastAsia"/>
          <w:sz w:val="22"/>
          <w:lang w:val="en-US"/>
        </w:rPr>
        <w:t>for</w:t>
      </w:r>
      <w:r w:rsidR="00F65BD9">
        <w:rPr>
          <w:rFonts w:eastAsiaTheme="minorEastAsia"/>
          <w:sz w:val="22"/>
          <w:lang w:val="en-US"/>
        </w:rPr>
        <w:t xml:space="preserve"> </w:t>
      </w:r>
      <w:r w:rsidR="00F058E8">
        <w:rPr>
          <w:rFonts w:eastAsiaTheme="minorEastAsia"/>
          <w:sz w:val="22"/>
          <w:lang w:val="en-US"/>
        </w:rPr>
        <w:t>maintenance of</w:t>
      </w:r>
      <w:r w:rsidR="000C3121" w:rsidRPr="00A077A0">
        <w:rPr>
          <w:rFonts w:eastAsiaTheme="minorEastAsia"/>
          <w:sz w:val="22"/>
          <w:lang w:val="en-US"/>
        </w:rPr>
        <w:t xml:space="preserve"> </w:t>
      </w:r>
      <w:r w:rsidR="00293FD8" w:rsidRPr="00A077A0">
        <w:rPr>
          <w:rFonts w:eastAsiaTheme="minorEastAsia"/>
          <w:sz w:val="22"/>
          <w:lang w:val="en-US"/>
        </w:rPr>
        <w:t>HARQ enhancements for NR NTN</w:t>
      </w:r>
      <w:r w:rsidR="000C3121" w:rsidRPr="00A077A0">
        <w:rPr>
          <w:rFonts w:eastAsiaTheme="minorEastAsia"/>
          <w:sz w:val="22"/>
          <w:lang w:val="en-US"/>
        </w:rPr>
        <w:t>.</w:t>
      </w:r>
    </w:p>
    <w:p w14:paraId="7B109A10" w14:textId="77777777" w:rsidR="000C3121" w:rsidRPr="00A077A0" w:rsidRDefault="000C3121" w:rsidP="003F43B0">
      <w:pPr>
        <w:spacing w:beforeLines="50" w:before="120" w:afterLines="50" w:after="120"/>
        <w:jc w:val="both"/>
        <w:rPr>
          <w:rFonts w:eastAsiaTheme="minorEastAsia"/>
          <w:iCs/>
          <w:sz w:val="22"/>
          <w:lang w:val="en-US"/>
        </w:rPr>
      </w:pPr>
    </w:p>
    <w:p w14:paraId="04E4159B" w14:textId="049A1F55" w:rsidR="00B342A7" w:rsidRPr="00A077A0" w:rsidRDefault="00456ED2" w:rsidP="00B342A7">
      <w:pPr>
        <w:pStyle w:val="1"/>
        <w:numPr>
          <w:ilvl w:val="0"/>
          <w:numId w:val="6"/>
        </w:numPr>
        <w:spacing w:after="120"/>
        <w:jc w:val="both"/>
        <w:rPr>
          <w:rFonts w:eastAsia="DengXian"/>
          <w:b/>
          <w:lang w:val="en-US" w:eastAsia="zh-CN"/>
        </w:rPr>
      </w:pPr>
      <w:r w:rsidRPr="00A077A0">
        <w:rPr>
          <w:rFonts w:eastAsia="DengXian"/>
          <w:b/>
          <w:lang w:val="en-US" w:eastAsia="zh-CN"/>
        </w:rPr>
        <w:t>Discussions</w:t>
      </w:r>
    </w:p>
    <w:p w14:paraId="5947DCB0" w14:textId="1CC8CAE7" w:rsidR="0083761A" w:rsidRPr="00574A29" w:rsidRDefault="0083761A" w:rsidP="0083761A">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574A29">
        <w:rPr>
          <w:rFonts w:ascii="Arial" w:eastAsia="DengXian" w:hAnsi="Arial"/>
          <w:b/>
          <w:kern w:val="28"/>
          <w:sz w:val="22"/>
          <w:szCs w:val="22"/>
          <w:lang w:val="en-US" w:eastAsia="zh-CN"/>
        </w:rPr>
        <w:t>SPS</w:t>
      </w:r>
      <w:r w:rsidR="003B394C">
        <w:rPr>
          <w:rFonts w:ascii="Arial" w:eastAsia="DengXian" w:hAnsi="Arial"/>
          <w:b/>
          <w:kern w:val="28"/>
          <w:sz w:val="22"/>
          <w:szCs w:val="22"/>
          <w:lang w:val="en-US" w:eastAsia="zh-CN"/>
        </w:rPr>
        <w:t xml:space="preserve"> with feedback-disabled process</w:t>
      </w:r>
    </w:p>
    <w:tbl>
      <w:tblPr>
        <w:tblStyle w:val="afc"/>
        <w:tblW w:w="0" w:type="auto"/>
        <w:tblLook w:val="04A0" w:firstRow="1" w:lastRow="0" w:firstColumn="1" w:lastColumn="0" w:noHBand="0" w:noVBand="1"/>
      </w:tblPr>
      <w:tblGrid>
        <w:gridCol w:w="9962"/>
      </w:tblGrid>
      <w:tr w:rsidR="00651377" w:rsidRPr="003B394C" w14:paraId="0939E8DA" w14:textId="77777777" w:rsidTr="00651377">
        <w:tc>
          <w:tcPr>
            <w:tcW w:w="9962" w:type="dxa"/>
          </w:tcPr>
          <w:p w14:paraId="3B3CA7A3" w14:textId="77777777" w:rsidR="003B394C" w:rsidRPr="003B394C" w:rsidRDefault="003B394C" w:rsidP="003B394C">
            <w:pPr>
              <w:spacing w:after="0"/>
              <w:rPr>
                <w:rFonts w:eastAsia="Times New Roman"/>
                <w:sz w:val="16"/>
                <w:szCs w:val="16"/>
                <w:lang w:val="en-US"/>
              </w:rPr>
            </w:pPr>
            <w:r w:rsidRPr="003B394C">
              <w:rPr>
                <w:rFonts w:eastAsia="Times New Roman"/>
                <w:b/>
                <w:bCs/>
                <w:sz w:val="16"/>
                <w:szCs w:val="16"/>
                <w:highlight w:val="green"/>
              </w:rPr>
              <w:t>Agreement</w:t>
            </w:r>
          </w:p>
          <w:p w14:paraId="20F7E997" w14:textId="77777777" w:rsidR="003B394C" w:rsidRPr="003B394C" w:rsidRDefault="003B394C" w:rsidP="003B394C">
            <w:pPr>
              <w:spacing w:after="0"/>
              <w:rPr>
                <w:rFonts w:eastAsia="Times New Roman"/>
                <w:sz w:val="16"/>
                <w:szCs w:val="16"/>
                <w:lang w:val="en-US"/>
              </w:rPr>
            </w:pPr>
            <w:r w:rsidRPr="003B394C">
              <w:rPr>
                <w:rFonts w:eastAsia="Times New Roman"/>
                <w:sz w:val="16"/>
                <w:szCs w:val="16"/>
              </w:rPr>
              <w:t>HARQ feedback for SPS activation may be additionally enabled by the network by RRC configuration.</w:t>
            </w:r>
          </w:p>
          <w:p w14:paraId="61C9035F" w14:textId="77777777" w:rsidR="003B394C" w:rsidRPr="003B394C" w:rsidRDefault="003B394C" w:rsidP="003B394C">
            <w:pPr>
              <w:numPr>
                <w:ilvl w:val="0"/>
                <w:numId w:val="32"/>
              </w:numPr>
              <w:spacing w:after="0"/>
              <w:rPr>
                <w:rFonts w:eastAsia="Times New Roman"/>
                <w:sz w:val="16"/>
                <w:szCs w:val="16"/>
                <w:lang w:val="en-US"/>
              </w:rPr>
            </w:pPr>
            <w:r w:rsidRPr="003B394C">
              <w:rPr>
                <w:rFonts w:eastAsia="Times New Roman"/>
                <w:sz w:val="16"/>
                <w:szCs w:val="16"/>
                <w:lang w:val="en-US"/>
              </w:rPr>
              <w:t>If enabled, UE reports ACK/NACK for the first SPS PDSCH after activation, regardless of whether HARQ feedback is enabled or disabled corresponding to the first SPS PDSCH after activation</w:t>
            </w:r>
          </w:p>
          <w:p w14:paraId="77933238" w14:textId="77777777" w:rsidR="003B394C" w:rsidRPr="003B394C" w:rsidRDefault="003B394C" w:rsidP="003B394C">
            <w:pPr>
              <w:numPr>
                <w:ilvl w:val="0"/>
                <w:numId w:val="32"/>
              </w:numPr>
              <w:spacing w:after="0"/>
              <w:rPr>
                <w:rFonts w:eastAsia="Times New Roman"/>
                <w:sz w:val="16"/>
                <w:szCs w:val="16"/>
                <w:lang w:val="en-US"/>
              </w:rPr>
            </w:pPr>
            <w:r w:rsidRPr="003B394C">
              <w:rPr>
                <w:rFonts w:eastAsia="Times New Roman"/>
                <w:sz w:val="16"/>
                <w:szCs w:val="16"/>
              </w:rPr>
              <w:t xml:space="preserve">Otherwise, UE follows configuration of HARQ feedback enabled/disabled corresponding to the first SPS PDSCH after activation, </w:t>
            </w:r>
          </w:p>
          <w:p w14:paraId="64FA7EF6" w14:textId="77777777" w:rsidR="003B394C" w:rsidRPr="003B394C" w:rsidRDefault="003B394C" w:rsidP="003B394C">
            <w:pPr>
              <w:numPr>
                <w:ilvl w:val="1"/>
                <w:numId w:val="32"/>
              </w:numPr>
              <w:spacing w:after="0"/>
              <w:rPr>
                <w:rFonts w:eastAsia="Times New Roman"/>
                <w:sz w:val="16"/>
                <w:szCs w:val="16"/>
                <w:lang w:val="en-US"/>
              </w:rPr>
            </w:pPr>
            <w:r w:rsidRPr="003B394C">
              <w:rPr>
                <w:rFonts w:eastAsia="Times New Roman"/>
                <w:sz w:val="16"/>
                <w:szCs w:val="16"/>
              </w:rPr>
              <w:t>FFS between Alt1 and Alt2</w:t>
            </w:r>
          </w:p>
          <w:p w14:paraId="78E57D81" w14:textId="77777777" w:rsidR="003B394C" w:rsidRPr="003B394C" w:rsidRDefault="003B394C" w:rsidP="003B394C">
            <w:pPr>
              <w:numPr>
                <w:ilvl w:val="2"/>
                <w:numId w:val="32"/>
              </w:numPr>
              <w:spacing w:after="0"/>
              <w:rPr>
                <w:rFonts w:eastAsia="Times New Roman"/>
                <w:sz w:val="16"/>
                <w:szCs w:val="16"/>
                <w:lang w:val="en-US"/>
              </w:rPr>
            </w:pPr>
            <w:r w:rsidRPr="003B394C">
              <w:rPr>
                <w:rFonts w:eastAsia="Times New Roman"/>
                <w:sz w:val="16"/>
                <w:szCs w:val="16"/>
                <w:lang w:val="en-US"/>
              </w:rPr>
              <w:t>[Alt-1: UE follows the per-process configuration of HARQ feedback enabled/disabled for the associated HARQ process</w:t>
            </w:r>
          </w:p>
          <w:p w14:paraId="18AEE954" w14:textId="21D46E01" w:rsidR="00651377" w:rsidRPr="003B394C" w:rsidRDefault="003B394C" w:rsidP="003B394C">
            <w:pPr>
              <w:numPr>
                <w:ilvl w:val="2"/>
                <w:numId w:val="32"/>
              </w:numPr>
              <w:spacing w:after="0"/>
              <w:rPr>
                <w:rFonts w:eastAsia="Times New Roman"/>
                <w:sz w:val="16"/>
                <w:szCs w:val="16"/>
                <w:lang w:val="en-US"/>
              </w:rPr>
            </w:pPr>
            <w:r w:rsidRPr="003B394C">
              <w:rPr>
                <w:rFonts w:eastAsia="Times New Roman"/>
                <w:sz w:val="16"/>
                <w:szCs w:val="16"/>
                <w:lang w:val="en-US"/>
              </w:rPr>
              <w:t>Alt-2: UE follows the feedback-enabled/disabled configuration of the SPS PDSCH]</w:t>
            </w:r>
          </w:p>
        </w:tc>
      </w:tr>
    </w:tbl>
    <w:p w14:paraId="4EAC55AA" w14:textId="440B98CF" w:rsidR="003B394C" w:rsidRDefault="003B394C" w:rsidP="00651377">
      <w:pPr>
        <w:spacing w:beforeLines="50" w:before="120" w:afterLines="50" w:after="120"/>
        <w:jc w:val="both"/>
        <w:rPr>
          <w:rFonts w:eastAsiaTheme="minorEastAsia"/>
          <w:iCs/>
          <w:sz w:val="22"/>
          <w:lang w:val="en-US"/>
        </w:rPr>
      </w:pPr>
      <w:r>
        <w:rPr>
          <w:rFonts w:eastAsiaTheme="minorEastAsia" w:hint="eastAsia"/>
          <w:iCs/>
          <w:sz w:val="22"/>
          <w:lang w:val="en-US"/>
        </w:rPr>
        <w:t>O</w:t>
      </w:r>
      <w:r>
        <w:rPr>
          <w:rFonts w:eastAsiaTheme="minorEastAsia"/>
          <w:iCs/>
          <w:sz w:val="22"/>
          <w:lang w:val="en-US"/>
        </w:rPr>
        <w:t xml:space="preserve">ne key issue on SPS is how to handle HARQ feedback corresponding to </w:t>
      </w:r>
      <w:r w:rsidR="000321D8">
        <w:rPr>
          <w:rFonts w:eastAsiaTheme="minorEastAsia"/>
          <w:iCs/>
          <w:sz w:val="22"/>
          <w:lang w:val="en-US"/>
        </w:rPr>
        <w:t xml:space="preserve">the initial </w:t>
      </w:r>
      <w:r w:rsidR="002812EF">
        <w:rPr>
          <w:rFonts w:eastAsiaTheme="minorEastAsia"/>
          <w:iCs/>
          <w:sz w:val="22"/>
          <w:lang w:val="en-US"/>
        </w:rPr>
        <w:t xml:space="preserve">SPS </w:t>
      </w:r>
      <w:r w:rsidR="000321D8">
        <w:rPr>
          <w:rFonts w:eastAsiaTheme="minorEastAsia"/>
          <w:iCs/>
          <w:sz w:val="22"/>
          <w:lang w:val="en-US"/>
        </w:rPr>
        <w:t xml:space="preserve">PDSCH after receiving </w:t>
      </w:r>
      <w:r>
        <w:rPr>
          <w:rFonts w:eastAsiaTheme="minorEastAsia"/>
          <w:iCs/>
          <w:sz w:val="22"/>
          <w:lang w:val="en-US"/>
        </w:rPr>
        <w:t>activation DCI in case where feedback-disabled process is used</w:t>
      </w:r>
      <w:r w:rsidR="000321D8">
        <w:rPr>
          <w:rFonts w:eastAsiaTheme="minorEastAsia"/>
          <w:iCs/>
          <w:sz w:val="22"/>
          <w:lang w:val="en-US"/>
        </w:rPr>
        <w:t xml:space="preserve"> for the PDSCH, and the above agreement was reached at the last meeting. Here still one FFS point is there, but we think the FFS includes two issues mixedly. Actually they are independent each other, they are discussed separately below.</w:t>
      </w:r>
    </w:p>
    <w:p w14:paraId="5F2EA60A" w14:textId="77777777" w:rsidR="002812EF" w:rsidRPr="00A077A0" w:rsidRDefault="002812EF" w:rsidP="002812EF">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Observation </w:t>
      </w:r>
      <w:r>
        <w:rPr>
          <w:rFonts w:eastAsiaTheme="minorEastAsia"/>
          <w:b/>
          <w:sz w:val="22"/>
          <w:u w:val="single"/>
          <w:lang w:val="en-US"/>
        </w:rPr>
        <w:t>1</w:t>
      </w:r>
      <w:r w:rsidRPr="00A077A0">
        <w:rPr>
          <w:rFonts w:eastAsiaTheme="minorEastAsia"/>
          <w:b/>
          <w:sz w:val="22"/>
          <w:u w:val="single"/>
          <w:lang w:val="en-US"/>
        </w:rPr>
        <w:t>:</w:t>
      </w:r>
    </w:p>
    <w:p w14:paraId="1BA4B57C" w14:textId="4EE46C2B" w:rsidR="002812EF" w:rsidRDefault="002812EF" w:rsidP="002812EF">
      <w:pPr>
        <w:numPr>
          <w:ilvl w:val="0"/>
          <w:numId w:val="18"/>
        </w:numPr>
        <w:spacing w:before="50" w:afterLines="50" w:after="120"/>
        <w:jc w:val="both"/>
        <w:rPr>
          <w:rFonts w:eastAsiaTheme="minorEastAsia"/>
          <w:i/>
          <w:sz w:val="22"/>
          <w:lang w:val="en-US"/>
        </w:rPr>
      </w:pPr>
      <w:r>
        <w:rPr>
          <w:rFonts w:eastAsiaTheme="minorEastAsia"/>
          <w:i/>
          <w:sz w:val="22"/>
          <w:lang w:val="en-US"/>
        </w:rPr>
        <w:t>An FFS in the agreement reached for HARQ feedback for SPS activation includes two issues mixedly. They should be discussed separately.</w:t>
      </w:r>
    </w:p>
    <w:p w14:paraId="0BF20822" w14:textId="38304E5E" w:rsidR="002812EF" w:rsidRDefault="002812EF" w:rsidP="00651377">
      <w:pPr>
        <w:spacing w:beforeLines="50" w:before="120" w:afterLines="50" w:after="120"/>
        <w:jc w:val="both"/>
        <w:rPr>
          <w:rFonts w:eastAsiaTheme="minorEastAsia"/>
          <w:iCs/>
          <w:sz w:val="22"/>
          <w:lang w:val="en-US"/>
        </w:rPr>
      </w:pPr>
    </w:p>
    <w:p w14:paraId="690AB9D8" w14:textId="77777777" w:rsidR="00BD161C" w:rsidRPr="000321D8" w:rsidRDefault="00BD161C" w:rsidP="00BD161C">
      <w:pPr>
        <w:pStyle w:val="afe"/>
        <w:numPr>
          <w:ilvl w:val="0"/>
          <w:numId w:val="33"/>
        </w:numPr>
        <w:spacing w:beforeLines="50" w:before="120" w:afterLines="50" w:after="120"/>
        <w:ind w:leftChars="0"/>
        <w:jc w:val="both"/>
        <w:rPr>
          <w:rFonts w:eastAsiaTheme="minorEastAsia"/>
          <w:iCs/>
          <w:sz w:val="22"/>
          <w:lang w:val="en-US"/>
        </w:rPr>
      </w:pPr>
      <w:r>
        <w:rPr>
          <w:rFonts w:eastAsiaTheme="minorEastAsia" w:hint="eastAsia"/>
          <w:iCs/>
          <w:sz w:val="22"/>
          <w:lang w:val="en-US"/>
        </w:rPr>
        <w:t>H</w:t>
      </w:r>
      <w:r>
        <w:rPr>
          <w:rFonts w:eastAsiaTheme="minorEastAsia"/>
          <w:iCs/>
          <w:sz w:val="22"/>
          <w:lang w:val="en-US"/>
        </w:rPr>
        <w:t>ARQ feedback corresponding to the initial SPS PDSCH after receiving activation DCI</w:t>
      </w:r>
    </w:p>
    <w:p w14:paraId="5B8883C9" w14:textId="57F6A202" w:rsidR="00BD161C" w:rsidRDefault="00BD161C" w:rsidP="00BD161C">
      <w:pPr>
        <w:spacing w:beforeLines="50" w:before="120" w:afterLines="50" w:after="120"/>
        <w:jc w:val="both"/>
        <w:rPr>
          <w:rFonts w:eastAsiaTheme="minorEastAsia"/>
          <w:iCs/>
          <w:sz w:val="22"/>
          <w:lang w:val="en-US"/>
        </w:rPr>
      </w:pPr>
      <w:r>
        <w:rPr>
          <w:rFonts w:eastAsiaTheme="minorEastAsia"/>
          <w:iCs/>
          <w:sz w:val="22"/>
          <w:lang w:val="en-US"/>
        </w:rPr>
        <w:t>The above captured agreement at the last meeting intends this issue mainly. RRC configuration can be provided for this issue, and if enabled, UE reports HARQ-ACK for the PDSCH regardless of feedback</w:t>
      </w:r>
      <w:r w:rsidR="00DB76A2">
        <w:rPr>
          <w:rFonts w:eastAsiaTheme="minorEastAsia"/>
          <w:iCs/>
          <w:sz w:val="22"/>
          <w:lang w:val="en-US"/>
        </w:rPr>
        <w:t>-</w:t>
      </w:r>
      <w:r>
        <w:rPr>
          <w:rFonts w:eastAsiaTheme="minorEastAsia"/>
          <w:iCs/>
          <w:sz w:val="22"/>
          <w:lang w:val="en-US"/>
        </w:rPr>
        <w:t>enabling/disabling configuration. Then, if disabled/not provided, the straightforward option is only that UE follows the feedback</w:t>
      </w:r>
      <w:r w:rsidR="00DB76A2">
        <w:rPr>
          <w:rFonts w:eastAsiaTheme="minorEastAsia"/>
          <w:iCs/>
          <w:sz w:val="22"/>
          <w:lang w:val="en-US"/>
        </w:rPr>
        <w:t>-</w:t>
      </w:r>
      <w:r>
        <w:rPr>
          <w:rFonts w:eastAsiaTheme="minorEastAsia"/>
          <w:iCs/>
          <w:sz w:val="22"/>
          <w:lang w:val="en-US"/>
        </w:rPr>
        <w:t>enabling/disabling configuration corresponding to the initial SPS PDSCH. Other option would not be aligned with intention of introducing the RRC parameter.</w:t>
      </w:r>
    </w:p>
    <w:p w14:paraId="1F349A93" w14:textId="51FE5B75" w:rsidR="00BD161C" w:rsidRPr="00A077A0" w:rsidRDefault="00BD161C" w:rsidP="00BD161C">
      <w:pPr>
        <w:spacing w:before="50" w:afterLines="50" w:after="120"/>
        <w:jc w:val="both"/>
        <w:rPr>
          <w:rFonts w:eastAsiaTheme="minorEastAsia"/>
          <w:b/>
          <w:sz w:val="22"/>
          <w:u w:val="single"/>
          <w:lang w:val="en-US"/>
        </w:rPr>
      </w:pPr>
      <w:r>
        <w:rPr>
          <w:rFonts w:eastAsiaTheme="minorEastAsia"/>
          <w:b/>
          <w:sz w:val="22"/>
          <w:u w:val="single"/>
          <w:lang w:val="en-US"/>
        </w:rPr>
        <w:t>Proposal</w:t>
      </w:r>
      <w:r w:rsidRPr="00A077A0">
        <w:rPr>
          <w:rFonts w:eastAsiaTheme="minorEastAsia"/>
          <w:b/>
          <w:sz w:val="22"/>
          <w:u w:val="single"/>
          <w:lang w:val="en-US"/>
        </w:rPr>
        <w:t xml:space="preserve"> </w:t>
      </w:r>
      <w:r>
        <w:rPr>
          <w:rFonts w:eastAsiaTheme="minorEastAsia"/>
          <w:b/>
          <w:sz w:val="22"/>
          <w:u w:val="single"/>
          <w:lang w:val="en-US"/>
        </w:rPr>
        <w:t>1</w:t>
      </w:r>
      <w:r w:rsidRPr="00A077A0">
        <w:rPr>
          <w:rFonts w:eastAsiaTheme="minorEastAsia"/>
          <w:b/>
          <w:sz w:val="22"/>
          <w:u w:val="single"/>
          <w:lang w:val="en-US"/>
        </w:rPr>
        <w:t>:</w:t>
      </w:r>
    </w:p>
    <w:p w14:paraId="401ACA1A" w14:textId="6B1C5AAF" w:rsidR="00BD161C" w:rsidRPr="00BD161C" w:rsidRDefault="00BD161C" w:rsidP="00BD161C">
      <w:pPr>
        <w:numPr>
          <w:ilvl w:val="0"/>
          <w:numId w:val="18"/>
        </w:numPr>
        <w:spacing w:before="50" w:afterLines="50" w:after="120"/>
        <w:jc w:val="both"/>
        <w:rPr>
          <w:rFonts w:eastAsiaTheme="minorEastAsia"/>
          <w:i/>
          <w:sz w:val="22"/>
          <w:lang w:val="en-US"/>
        </w:rPr>
      </w:pPr>
      <w:r>
        <w:rPr>
          <w:rFonts w:eastAsiaTheme="minorEastAsia" w:hint="eastAsia"/>
          <w:i/>
          <w:sz w:val="22"/>
          <w:lang w:val="en-US"/>
        </w:rPr>
        <w:t>W</w:t>
      </w:r>
      <w:r>
        <w:rPr>
          <w:rFonts w:eastAsiaTheme="minorEastAsia"/>
          <w:i/>
          <w:sz w:val="22"/>
          <w:lang w:val="en-US"/>
        </w:rPr>
        <w:t>hen RRC configuration of HARQ feedback for SPS activation is not enabled,</w:t>
      </w:r>
      <w:r>
        <w:rPr>
          <w:rFonts w:eastAsiaTheme="minorEastAsia" w:hint="eastAsia"/>
          <w:i/>
          <w:sz w:val="22"/>
          <w:lang w:val="en-US"/>
        </w:rPr>
        <w:t xml:space="preserve"> </w:t>
      </w:r>
      <w:r>
        <w:rPr>
          <w:rFonts w:eastAsiaTheme="minorEastAsia"/>
          <w:i/>
          <w:sz w:val="22"/>
          <w:lang w:val="en-US"/>
        </w:rPr>
        <w:t>UE follows feedback</w:t>
      </w:r>
      <w:r w:rsidR="00DB76A2">
        <w:rPr>
          <w:rFonts w:eastAsiaTheme="minorEastAsia"/>
          <w:i/>
          <w:sz w:val="22"/>
          <w:lang w:val="en-US"/>
        </w:rPr>
        <w:t>-</w:t>
      </w:r>
      <w:r>
        <w:rPr>
          <w:rFonts w:eastAsiaTheme="minorEastAsia"/>
          <w:i/>
          <w:sz w:val="22"/>
          <w:lang w:val="en-US"/>
        </w:rPr>
        <w:t>enabling/disabling configuration corresponding to the initial SPS PDSCH after SPS activation.</w:t>
      </w:r>
    </w:p>
    <w:p w14:paraId="303B2BC4" w14:textId="77777777" w:rsidR="00BD161C" w:rsidRDefault="00BD161C" w:rsidP="00651377">
      <w:pPr>
        <w:spacing w:beforeLines="50" w:before="120" w:afterLines="50" w:after="120"/>
        <w:jc w:val="both"/>
        <w:rPr>
          <w:rFonts w:eastAsiaTheme="minorEastAsia"/>
          <w:iCs/>
          <w:sz w:val="22"/>
          <w:lang w:val="en-US"/>
        </w:rPr>
      </w:pPr>
    </w:p>
    <w:p w14:paraId="13EA5DD3" w14:textId="44C9BD35" w:rsidR="003B394C" w:rsidRPr="000321D8" w:rsidRDefault="000321D8" w:rsidP="000321D8">
      <w:pPr>
        <w:pStyle w:val="afe"/>
        <w:numPr>
          <w:ilvl w:val="0"/>
          <w:numId w:val="33"/>
        </w:numPr>
        <w:spacing w:beforeLines="50" w:before="120" w:afterLines="50" w:after="120"/>
        <w:ind w:leftChars="0"/>
        <w:jc w:val="both"/>
        <w:rPr>
          <w:rFonts w:eastAsiaTheme="minorEastAsia"/>
          <w:iCs/>
          <w:sz w:val="22"/>
          <w:lang w:val="en-US"/>
        </w:rPr>
      </w:pPr>
      <w:r>
        <w:rPr>
          <w:rFonts w:eastAsiaTheme="minorEastAsia"/>
          <w:iCs/>
          <w:sz w:val="22"/>
          <w:lang w:val="en-US"/>
        </w:rPr>
        <w:t>HARQ feedback</w:t>
      </w:r>
      <w:r w:rsidR="00DB76A2">
        <w:rPr>
          <w:rFonts w:eastAsiaTheme="minorEastAsia"/>
          <w:iCs/>
          <w:sz w:val="22"/>
          <w:lang w:val="en-US"/>
        </w:rPr>
        <w:t>-</w:t>
      </w:r>
      <w:r>
        <w:rPr>
          <w:rFonts w:eastAsiaTheme="minorEastAsia"/>
          <w:iCs/>
          <w:sz w:val="22"/>
          <w:lang w:val="en-US"/>
        </w:rPr>
        <w:t>enabling/disabling configuration for SPS</w:t>
      </w:r>
    </w:p>
    <w:p w14:paraId="1DC0F31B" w14:textId="7D5B3223" w:rsidR="003B394C" w:rsidRDefault="00BD161C" w:rsidP="00651377">
      <w:pPr>
        <w:spacing w:beforeLines="50" w:before="120" w:afterLines="50" w:after="120"/>
        <w:jc w:val="both"/>
        <w:rPr>
          <w:rFonts w:eastAsiaTheme="minorEastAsia"/>
          <w:iCs/>
          <w:sz w:val="22"/>
          <w:lang w:val="en-US"/>
        </w:rPr>
      </w:pPr>
      <w:r>
        <w:rPr>
          <w:rFonts w:eastAsiaTheme="minorEastAsia" w:hint="eastAsia"/>
          <w:iCs/>
          <w:sz w:val="22"/>
          <w:lang w:val="en-US"/>
        </w:rPr>
        <w:t>A</w:t>
      </w:r>
      <w:r>
        <w:rPr>
          <w:rFonts w:eastAsiaTheme="minorEastAsia"/>
          <w:iCs/>
          <w:sz w:val="22"/>
          <w:lang w:val="en-US"/>
        </w:rPr>
        <w:t xml:space="preserve">lt 2 in the above agreement is a feature for feedback of entire SPS PDSCHs rather than feedback of the initial SPS PDSCH after activation. </w:t>
      </w:r>
      <w:r w:rsidR="00DB76A2">
        <w:rPr>
          <w:rFonts w:eastAsiaTheme="minorEastAsia"/>
          <w:iCs/>
          <w:sz w:val="22"/>
          <w:lang w:val="en-US"/>
        </w:rPr>
        <w:t xml:space="preserve">Related to this issue, </w:t>
      </w:r>
      <w:r w:rsidR="00DB76A2" w:rsidRPr="00A077A0">
        <w:rPr>
          <w:rFonts w:eastAsiaTheme="minorEastAsia"/>
          <w:iCs/>
          <w:sz w:val="22"/>
          <w:lang w:val="en-US"/>
        </w:rPr>
        <w:t>there w</w:t>
      </w:r>
      <w:r w:rsidR="00DB76A2">
        <w:rPr>
          <w:rFonts w:eastAsiaTheme="minorEastAsia"/>
          <w:iCs/>
          <w:sz w:val="22"/>
          <w:lang w:val="en-US"/>
        </w:rPr>
        <w:t>ere</w:t>
      </w:r>
      <w:r w:rsidR="00DB76A2" w:rsidRPr="00A077A0">
        <w:rPr>
          <w:rFonts w:eastAsiaTheme="minorEastAsia"/>
          <w:iCs/>
          <w:sz w:val="22"/>
          <w:lang w:val="en-US"/>
        </w:rPr>
        <w:t xml:space="preserve"> discussions on whether</w:t>
      </w:r>
      <w:r w:rsidR="00DB76A2">
        <w:rPr>
          <w:rFonts w:eastAsiaTheme="minorEastAsia"/>
          <w:iCs/>
          <w:sz w:val="22"/>
          <w:lang w:val="en-US"/>
        </w:rPr>
        <w:t xml:space="preserve"> the agreement of feedback-enabling/disabling configuration per HARQ process covers SPS or not. In addition, whether the configuration is shared among dynamically scheduled PDSCH and SPS PDSCH or not is also an unclear point currently. In our </w:t>
      </w:r>
      <w:r w:rsidR="00DB76A2">
        <w:rPr>
          <w:rFonts w:eastAsiaTheme="minorEastAsia"/>
          <w:iCs/>
          <w:sz w:val="22"/>
          <w:lang w:val="en-US"/>
        </w:rPr>
        <w:lastRenderedPageBreak/>
        <w:t xml:space="preserve">view, at least feedback-enabling/disabling should be separately configured between dynamically scheduled PDSCH and SPS PDSCH. </w:t>
      </w:r>
    </w:p>
    <w:p w14:paraId="6BF984DE" w14:textId="75BF7AEF" w:rsidR="00BD161C" w:rsidRPr="00A077A0" w:rsidRDefault="00BD161C" w:rsidP="00BD161C">
      <w:pPr>
        <w:spacing w:beforeLines="50" w:before="120" w:afterLines="50" w:after="120"/>
        <w:jc w:val="both"/>
        <w:rPr>
          <w:rFonts w:eastAsiaTheme="minorEastAsia"/>
          <w:iCs/>
          <w:sz w:val="22"/>
          <w:lang w:val="en-US"/>
        </w:rPr>
      </w:pPr>
      <w:r>
        <w:rPr>
          <w:rFonts w:eastAsiaTheme="minorEastAsia"/>
          <w:iCs/>
          <w:sz w:val="22"/>
          <w:lang w:val="en-US"/>
        </w:rPr>
        <w:t xml:space="preserve">In SPS, </w:t>
      </w:r>
      <w:r w:rsidRPr="00A077A0">
        <w:rPr>
          <w:rFonts w:eastAsiaTheme="minorEastAsia"/>
          <w:iCs/>
          <w:sz w:val="22"/>
          <w:lang w:val="en-US"/>
        </w:rPr>
        <w:t xml:space="preserve">process number determination is dependent on the reception timing and a parameter </w:t>
      </w:r>
      <w:r w:rsidRPr="00A077A0">
        <w:rPr>
          <w:rFonts w:eastAsiaTheme="minorEastAsia"/>
          <w:i/>
          <w:iCs/>
          <w:sz w:val="22"/>
          <w:lang w:val="en-US"/>
        </w:rPr>
        <w:t>nrofHARQ-Processes</w:t>
      </w:r>
      <w:r w:rsidRPr="00A077A0">
        <w:rPr>
          <w:rFonts w:eastAsiaTheme="minorEastAsia"/>
          <w:iCs/>
          <w:sz w:val="22"/>
          <w:lang w:val="en-US"/>
        </w:rPr>
        <w:t xml:space="preserve">. In this sense, if </w:t>
      </w:r>
      <w:r>
        <w:rPr>
          <w:rFonts w:eastAsiaTheme="minorEastAsia"/>
          <w:iCs/>
          <w:sz w:val="22"/>
          <w:lang w:val="en-US"/>
        </w:rPr>
        <w:t>common configuration with</w:t>
      </w:r>
      <w:r w:rsidRPr="00A077A0">
        <w:rPr>
          <w:rFonts w:eastAsiaTheme="minorEastAsia"/>
          <w:iCs/>
          <w:sz w:val="22"/>
          <w:lang w:val="en-US"/>
        </w:rPr>
        <w:t xml:space="preserve"> dynamic case is applied and </w:t>
      </w:r>
      <w:r>
        <w:rPr>
          <w:rFonts w:eastAsiaTheme="minorEastAsia"/>
          <w:iCs/>
          <w:sz w:val="22"/>
          <w:lang w:val="en-US"/>
        </w:rPr>
        <w:t xml:space="preserve">it is intended that </w:t>
      </w:r>
      <w:r w:rsidRPr="00A077A0">
        <w:rPr>
          <w:rFonts w:eastAsiaTheme="minorEastAsia"/>
          <w:iCs/>
          <w:sz w:val="22"/>
          <w:lang w:val="en-US"/>
        </w:rPr>
        <w:t xml:space="preserve">a SPS </w:t>
      </w:r>
      <w:r>
        <w:rPr>
          <w:rFonts w:eastAsiaTheme="minorEastAsia"/>
          <w:iCs/>
          <w:sz w:val="22"/>
          <w:lang w:val="en-US"/>
        </w:rPr>
        <w:t>is</w:t>
      </w:r>
      <w:r w:rsidRPr="00A077A0">
        <w:rPr>
          <w:rFonts w:eastAsiaTheme="minorEastAsia"/>
          <w:iCs/>
          <w:sz w:val="22"/>
          <w:lang w:val="en-US"/>
        </w:rPr>
        <w:t xml:space="preserve"> configured with feedback</w:t>
      </w:r>
      <w:r w:rsidR="00DB76A2">
        <w:rPr>
          <w:rFonts w:eastAsiaTheme="minorEastAsia"/>
          <w:iCs/>
          <w:sz w:val="22"/>
          <w:lang w:val="en-US"/>
        </w:rPr>
        <w:t>-</w:t>
      </w:r>
      <w:r w:rsidRPr="00A077A0">
        <w:rPr>
          <w:rFonts w:eastAsiaTheme="minorEastAsia"/>
          <w:iCs/>
          <w:sz w:val="22"/>
          <w:lang w:val="en-US"/>
        </w:rPr>
        <w:t xml:space="preserve">enabling, all HARQ processes allocated for </w:t>
      </w:r>
      <w:r>
        <w:rPr>
          <w:rFonts w:eastAsiaTheme="minorEastAsia"/>
          <w:iCs/>
          <w:sz w:val="22"/>
          <w:lang w:val="en-US"/>
        </w:rPr>
        <w:t xml:space="preserve">the </w:t>
      </w:r>
      <w:r w:rsidRPr="00A077A0">
        <w:rPr>
          <w:rFonts w:eastAsiaTheme="minorEastAsia"/>
          <w:iCs/>
          <w:sz w:val="22"/>
          <w:lang w:val="en-US"/>
        </w:rPr>
        <w:t>SPS shall be configured with feedback</w:t>
      </w:r>
      <w:r w:rsidR="00DB76A2">
        <w:rPr>
          <w:rFonts w:eastAsiaTheme="minorEastAsia"/>
          <w:iCs/>
          <w:sz w:val="22"/>
          <w:lang w:val="en-US"/>
        </w:rPr>
        <w:t>-</w:t>
      </w:r>
      <w:r w:rsidRPr="00A077A0">
        <w:rPr>
          <w:rFonts w:eastAsiaTheme="minorEastAsia"/>
          <w:iCs/>
          <w:sz w:val="22"/>
          <w:lang w:val="en-US"/>
        </w:rPr>
        <w:t xml:space="preserve">enabling so that </w:t>
      </w:r>
      <w:r>
        <w:rPr>
          <w:rFonts w:eastAsiaTheme="minorEastAsia"/>
          <w:iCs/>
          <w:sz w:val="22"/>
          <w:lang w:val="en-US"/>
        </w:rPr>
        <w:t>any SPS PDSCH receptions follow</w:t>
      </w:r>
      <w:r w:rsidRPr="00A077A0">
        <w:rPr>
          <w:rFonts w:eastAsiaTheme="minorEastAsia"/>
          <w:iCs/>
          <w:sz w:val="22"/>
          <w:lang w:val="en-US"/>
        </w:rPr>
        <w:t xml:space="preserve"> the same configuration of enabled</w:t>
      </w:r>
      <w:r>
        <w:rPr>
          <w:rFonts w:eastAsiaTheme="minorEastAsia"/>
          <w:iCs/>
          <w:sz w:val="22"/>
          <w:lang w:val="en-US"/>
        </w:rPr>
        <w:t xml:space="preserve"> feedback</w:t>
      </w:r>
      <w:r w:rsidRPr="00A077A0">
        <w:rPr>
          <w:rFonts w:eastAsiaTheme="minorEastAsia"/>
          <w:iCs/>
          <w:sz w:val="22"/>
          <w:lang w:val="en-US"/>
        </w:rPr>
        <w:t xml:space="preserve">. However, it will degrade dynamic scheduling flexibility since HARQ processes allocated for </w:t>
      </w:r>
      <w:r>
        <w:rPr>
          <w:rFonts w:eastAsiaTheme="minorEastAsia"/>
          <w:iCs/>
          <w:sz w:val="22"/>
          <w:lang w:val="en-US"/>
        </w:rPr>
        <w:t xml:space="preserve">the </w:t>
      </w:r>
      <w:r w:rsidRPr="00A077A0">
        <w:rPr>
          <w:rFonts w:eastAsiaTheme="minorEastAsia"/>
          <w:iCs/>
          <w:sz w:val="22"/>
          <w:lang w:val="en-US"/>
        </w:rPr>
        <w:t>SPS can be used for dynamic scheduling as well. Any dynamic PDSCH scheduling with disabled feedback shall be transmitted via</w:t>
      </w:r>
      <w:r>
        <w:rPr>
          <w:rFonts w:eastAsiaTheme="minorEastAsia"/>
          <w:iCs/>
          <w:sz w:val="22"/>
          <w:lang w:val="en-US"/>
        </w:rPr>
        <w:t xml:space="preserve"> one of the</w:t>
      </w:r>
      <w:r w:rsidRPr="00A077A0">
        <w:rPr>
          <w:rFonts w:eastAsiaTheme="minorEastAsia"/>
          <w:iCs/>
          <w:sz w:val="22"/>
          <w:lang w:val="en-US"/>
        </w:rPr>
        <w:t xml:space="preserve"> other HARQ processes in this case. One note is that RTT in NTN is quite large, i.e. more HAR</w:t>
      </w:r>
      <w:r>
        <w:rPr>
          <w:rFonts w:eastAsiaTheme="minorEastAsia"/>
          <w:iCs/>
          <w:sz w:val="22"/>
          <w:lang w:val="en-US"/>
        </w:rPr>
        <w:t>Q processes will be needed for each</w:t>
      </w:r>
      <w:r w:rsidRPr="00A077A0">
        <w:rPr>
          <w:rFonts w:eastAsiaTheme="minorEastAsia"/>
          <w:iCs/>
          <w:sz w:val="22"/>
          <w:lang w:val="en-US"/>
        </w:rPr>
        <w:t xml:space="preserve"> SPS with </w:t>
      </w:r>
      <w:r>
        <w:rPr>
          <w:rFonts w:eastAsiaTheme="minorEastAsia"/>
          <w:iCs/>
          <w:sz w:val="22"/>
          <w:lang w:val="en-US"/>
        </w:rPr>
        <w:t>enabled feedback</w:t>
      </w:r>
      <w:r w:rsidRPr="00A077A0">
        <w:rPr>
          <w:rFonts w:eastAsiaTheme="minorEastAsia"/>
          <w:iCs/>
          <w:sz w:val="22"/>
          <w:lang w:val="en-US"/>
        </w:rPr>
        <w:t>. Another note is that the following is the process number determination of SPS PDSCH.</w:t>
      </w:r>
    </w:p>
    <w:p w14:paraId="5E6B19AE" w14:textId="77777777" w:rsidR="00BD161C" w:rsidRPr="00A077A0" w:rsidRDefault="00BD161C" w:rsidP="00BD161C">
      <w:pPr>
        <w:pStyle w:val="afe"/>
        <w:numPr>
          <w:ilvl w:val="0"/>
          <w:numId w:val="19"/>
        </w:numPr>
        <w:spacing w:beforeLines="50" w:before="120" w:afterLines="50" w:after="120"/>
        <w:ind w:leftChars="0"/>
        <w:jc w:val="both"/>
        <w:rPr>
          <w:rFonts w:eastAsiaTheme="minorEastAsia"/>
          <w:iCs/>
          <w:sz w:val="22"/>
          <w:lang w:val="en-US"/>
        </w:rPr>
      </w:pPr>
      <w:r w:rsidRPr="00A077A0">
        <w:rPr>
          <w:rFonts w:eastAsiaTheme="minorEastAsia"/>
          <w:iCs/>
          <w:sz w:val="22"/>
          <w:lang w:val="en-US"/>
        </w:rPr>
        <w:t>HARQ Process ID = [floor (CURRENT_slot × 10 / (</w:t>
      </w:r>
      <w:r w:rsidRPr="00A077A0">
        <w:rPr>
          <w:rFonts w:eastAsiaTheme="minorEastAsia"/>
          <w:i/>
          <w:iCs/>
          <w:sz w:val="22"/>
          <w:lang w:val="en-US"/>
        </w:rPr>
        <w:t xml:space="preserve">numberOfSlotsPerFrame </w:t>
      </w:r>
      <w:r w:rsidRPr="00A077A0">
        <w:rPr>
          <w:rFonts w:eastAsiaTheme="minorEastAsia"/>
          <w:iCs/>
          <w:sz w:val="22"/>
          <w:lang w:val="en-US"/>
        </w:rPr>
        <w:t xml:space="preserve">× </w:t>
      </w:r>
      <w:r w:rsidRPr="00A077A0">
        <w:rPr>
          <w:rFonts w:eastAsiaTheme="minorEastAsia"/>
          <w:i/>
          <w:iCs/>
          <w:sz w:val="22"/>
          <w:lang w:val="en-US"/>
        </w:rPr>
        <w:t>periodicity</w:t>
      </w:r>
      <w:r w:rsidRPr="00A077A0">
        <w:rPr>
          <w:rFonts w:eastAsiaTheme="minorEastAsia"/>
          <w:iCs/>
          <w:sz w:val="22"/>
          <w:lang w:val="en-US"/>
        </w:rPr>
        <w:t xml:space="preserve">))] modulo </w:t>
      </w:r>
      <w:r w:rsidRPr="00A077A0">
        <w:rPr>
          <w:rFonts w:eastAsiaTheme="minorEastAsia"/>
          <w:i/>
          <w:iCs/>
          <w:sz w:val="22"/>
          <w:lang w:val="en-US"/>
        </w:rPr>
        <w:t>nrofHARQ-Processes</w:t>
      </w:r>
      <w:r w:rsidRPr="00A077A0">
        <w:rPr>
          <w:rFonts w:eastAsiaTheme="minorEastAsia"/>
          <w:iCs/>
          <w:sz w:val="22"/>
          <w:lang w:val="en-US"/>
        </w:rPr>
        <w:t>, or</w:t>
      </w:r>
    </w:p>
    <w:p w14:paraId="4DC51648" w14:textId="77777777" w:rsidR="00BD161C" w:rsidRPr="00A077A0" w:rsidRDefault="00BD161C" w:rsidP="00BD161C">
      <w:pPr>
        <w:pStyle w:val="afe"/>
        <w:numPr>
          <w:ilvl w:val="0"/>
          <w:numId w:val="19"/>
        </w:numPr>
        <w:spacing w:beforeLines="50" w:before="120" w:afterLines="50" w:after="120"/>
        <w:ind w:leftChars="0"/>
        <w:jc w:val="both"/>
        <w:rPr>
          <w:rFonts w:eastAsiaTheme="minorEastAsia"/>
          <w:iCs/>
          <w:sz w:val="22"/>
          <w:lang w:val="en-US"/>
        </w:rPr>
      </w:pPr>
      <w:r w:rsidRPr="00A077A0">
        <w:rPr>
          <w:rFonts w:eastAsiaTheme="minorEastAsia"/>
          <w:iCs/>
          <w:sz w:val="22"/>
          <w:lang w:val="en-US"/>
        </w:rPr>
        <w:t>HARQ Process ID = [floor (CURRENT_slot × 10 / (</w:t>
      </w:r>
      <w:r w:rsidRPr="00A077A0">
        <w:rPr>
          <w:rFonts w:eastAsiaTheme="minorEastAsia"/>
          <w:i/>
          <w:iCs/>
          <w:sz w:val="22"/>
          <w:lang w:val="en-US"/>
        </w:rPr>
        <w:t xml:space="preserve">numberOfSlotsPerFrame </w:t>
      </w:r>
      <w:r w:rsidRPr="00A077A0">
        <w:rPr>
          <w:rFonts w:eastAsiaTheme="minorEastAsia"/>
          <w:iCs/>
          <w:sz w:val="22"/>
          <w:lang w:val="en-US"/>
        </w:rPr>
        <w:t xml:space="preserve">× </w:t>
      </w:r>
      <w:r w:rsidRPr="00A077A0">
        <w:rPr>
          <w:rFonts w:eastAsiaTheme="minorEastAsia"/>
          <w:i/>
          <w:iCs/>
          <w:sz w:val="22"/>
          <w:lang w:val="en-US"/>
        </w:rPr>
        <w:t>periodicity</w:t>
      </w:r>
      <w:r w:rsidRPr="00A077A0">
        <w:rPr>
          <w:rFonts w:eastAsiaTheme="minorEastAsia"/>
          <w:iCs/>
          <w:sz w:val="22"/>
          <w:lang w:val="en-US"/>
        </w:rPr>
        <w:t xml:space="preserve">))] modulo </w:t>
      </w:r>
      <w:r w:rsidRPr="00A077A0">
        <w:rPr>
          <w:rFonts w:eastAsiaTheme="minorEastAsia"/>
          <w:i/>
          <w:iCs/>
          <w:sz w:val="22"/>
          <w:lang w:val="en-US"/>
        </w:rPr>
        <w:t xml:space="preserve">nrofHARQ-Processes </w:t>
      </w:r>
      <w:r w:rsidRPr="00A077A0">
        <w:rPr>
          <w:rFonts w:eastAsiaTheme="minorEastAsia"/>
          <w:iCs/>
          <w:sz w:val="22"/>
          <w:lang w:val="en-US"/>
        </w:rPr>
        <w:t xml:space="preserve">+ </w:t>
      </w:r>
      <w:r w:rsidRPr="00A077A0">
        <w:rPr>
          <w:rFonts w:eastAsiaTheme="minorEastAsia"/>
          <w:i/>
          <w:iCs/>
          <w:sz w:val="22"/>
          <w:lang w:val="en-US"/>
        </w:rPr>
        <w:t>harq-ProcID-Offset</w:t>
      </w:r>
    </w:p>
    <w:p w14:paraId="1CF49B7B" w14:textId="77777777" w:rsidR="00BD161C" w:rsidRPr="00A077A0" w:rsidRDefault="00BD161C" w:rsidP="00BD161C">
      <w:pPr>
        <w:pStyle w:val="afe"/>
        <w:numPr>
          <w:ilvl w:val="0"/>
          <w:numId w:val="19"/>
        </w:numPr>
        <w:spacing w:beforeLines="50" w:before="120" w:afterLines="50" w:after="120"/>
        <w:ind w:leftChars="0"/>
        <w:jc w:val="both"/>
        <w:rPr>
          <w:rFonts w:eastAsiaTheme="minorEastAsia"/>
          <w:iCs/>
          <w:sz w:val="22"/>
          <w:lang w:val="en-US"/>
        </w:rPr>
      </w:pPr>
      <w:r w:rsidRPr="00A077A0">
        <w:rPr>
          <w:rFonts w:eastAsiaTheme="minorEastAsia"/>
          <w:iCs/>
          <w:sz w:val="22"/>
          <w:lang w:val="en-US"/>
        </w:rPr>
        <w:t xml:space="preserve">where CURRENT_slot = [(SFN × </w:t>
      </w:r>
      <w:r w:rsidRPr="00A077A0">
        <w:rPr>
          <w:rFonts w:eastAsiaTheme="minorEastAsia"/>
          <w:i/>
          <w:iCs/>
          <w:sz w:val="22"/>
          <w:lang w:val="en-US"/>
        </w:rPr>
        <w:t>numberOfSlotsPerFrame</w:t>
      </w:r>
      <w:r w:rsidRPr="00A077A0">
        <w:rPr>
          <w:rFonts w:eastAsiaTheme="minorEastAsia"/>
          <w:iCs/>
          <w:sz w:val="22"/>
          <w:lang w:val="en-US"/>
        </w:rPr>
        <w:t xml:space="preserve">) + slot number in the frame] and </w:t>
      </w:r>
      <w:r w:rsidRPr="00A077A0">
        <w:rPr>
          <w:rFonts w:eastAsiaTheme="minorEastAsia"/>
          <w:i/>
          <w:iCs/>
          <w:sz w:val="22"/>
          <w:lang w:val="en-US"/>
        </w:rPr>
        <w:t xml:space="preserve">numberOfSlotsPerFrame </w:t>
      </w:r>
      <w:r w:rsidRPr="00A077A0">
        <w:rPr>
          <w:rFonts w:eastAsiaTheme="minorEastAsia"/>
          <w:iCs/>
          <w:sz w:val="22"/>
          <w:lang w:val="en-US"/>
        </w:rPr>
        <w:t>refers to the number of consecutive slots per frame</w:t>
      </w:r>
    </w:p>
    <w:p w14:paraId="0BD4049B" w14:textId="77777777" w:rsidR="00BD161C" w:rsidRPr="00A077A0" w:rsidRDefault="00BD161C" w:rsidP="00BD161C">
      <w:pPr>
        <w:pStyle w:val="afe"/>
        <w:spacing w:beforeLines="50" w:before="120" w:afterLines="50" w:after="120"/>
        <w:ind w:leftChars="0" w:left="0"/>
        <w:jc w:val="center"/>
        <w:rPr>
          <w:rFonts w:eastAsiaTheme="minorEastAsia"/>
          <w:iCs/>
          <w:sz w:val="22"/>
          <w:lang w:val="en-US"/>
        </w:rPr>
      </w:pPr>
      <w:r w:rsidRPr="00137E97">
        <w:rPr>
          <w:noProof/>
          <w:lang w:val="en-US"/>
        </w:rPr>
        <w:drawing>
          <wp:inline distT="0" distB="0" distL="0" distR="0" wp14:anchorId="146CD924" wp14:editId="2ED2E3BD">
            <wp:extent cx="6332220" cy="2734237"/>
            <wp:effectExtent l="0" t="0" r="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2734237"/>
                    </a:xfrm>
                    <a:prstGeom prst="rect">
                      <a:avLst/>
                    </a:prstGeom>
                    <a:noFill/>
                    <a:ln>
                      <a:noFill/>
                    </a:ln>
                  </pic:spPr>
                </pic:pic>
              </a:graphicData>
            </a:graphic>
          </wp:inline>
        </w:drawing>
      </w:r>
    </w:p>
    <w:p w14:paraId="5FC15C17" w14:textId="01725060" w:rsidR="00BD161C" w:rsidRPr="00A077A0" w:rsidRDefault="00BD161C" w:rsidP="00BD161C">
      <w:pPr>
        <w:pStyle w:val="afe"/>
        <w:spacing w:beforeLines="50" w:before="120" w:afterLines="50" w:after="120"/>
        <w:ind w:leftChars="0" w:left="0"/>
        <w:jc w:val="center"/>
        <w:rPr>
          <w:rFonts w:eastAsiaTheme="minorEastAsia"/>
          <w:iCs/>
          <w:sz w:val="22"/>
          <w:lang w:val="en-US"/>
        </w:rPr>
      </w:pPr>
      <w:r w:rsidRPr="00A077A0">
        <w:rPr>
          <w:rFonts w:eastAsiaTheme="minorEastAsia"/>
          <w:iCs/>
          <w:sz w:val="22"/>
          <w:lang w:val="en-US"/>
        </w:rPr>
        <w:t xml:space="preserve">Fig. </w:t>
      </w:r>
      <w:r w:rsidR="00DB76A2">
        <w:rPr>
          <w:rFonts w:eastAsiaTheme="minorEastAsia"/>
          <w:iCs/>
          <w:sz w:val="22"/>
          <w:lang w:val="en-US"/>
        </w:rPr>
        <w:t>1</w:t>
      </w:r>
      <w:r w:rsidRPr="00A077A0">
        <w:rPr>
          <w:rFonts w:eastAsiaTheme="minorEastAsia"/>
          <w:iCs/>
          <w:sz w:val="22"/>
          <w:lang w:val="en-US"/>
        </w:rPr>
        <w:t xml:space="preserve">: </w:t>
      </w:r>
      <w:r>
        <w:rPr>
          <w:rFonts w:eastAsiaTheme="minorEastAsia"/>
          <w:iCs/>
          <w:sz w:val="22"/>
          <w:lang w:val="en-US"/>
        </w:rPr>
        <w:t>Common/Separate configuration per HARQ process between dynamic PDSCH and SPS.</w:t>
      </w:r>
    </w:p>
    <w:p w14:paraId="17F6B786" w14:textId="77777777" w:rsidR="00BD161C" w:rsidRPr="00A077A0" w:rsidRDefault="00BD161C" w:rsidP="00BD161C">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Observation </w:t>
      </w:r>
      <w:r>
        <w:rPr>
          <w:rFonts w:eastAsiaTheme="minorEastAsia"/>
          <w:b/>
          <w:sz w:val="22"/>
          <w:u w:val="single"/>
          <w:lang w:val="en-US"/>
        </w:rPr>
        <w:t>2</w:t>
      </w:r>
      <w:r w:rsidRPr="00A077A0">
        <w:rPr>
          <w:rFonts w:eastAsiaTheme="minorEastAsia"/>
          <w:b/>
          <w:sz w:val="22"/>
          <w:u w:val="single"/>
          <w:lang w:val="en-US"/>
        </w:rPr>
        <w:t>:</w:t>
      </w:r>
    </w:p>
    <w:p w14:paraId="6EEB48FF" w14:textId="0FE2849C" w:rsidR="00BD161C" w:rsidRPr="00A077A0" w:rsidRDefault="00BD161C" w:rsidP="00BD161C">
      <w:pPr>
        <w:numPr>
          <w:ilvl w:val="0"/>
          <w:numId w:val="18"/>
        </w:numPr>
        <w:spacing w:before="50" w:afterLines="50" w:after="120"/>
        <w:jc w:val="both"/>
        <w:rPr>
          <w:rFonts w:eastAsiaTheme="minorEastAsia"/>
          <w:i/>
          <w:sz w:val="22"/>
          <w:lang w:val="en-US"/>
        </w:rPr>
      </w:pPr>
      <w:r w:rsidRPr="00A077A0">
        <w:rPr>
          <w:rFonts w:eastAsiaTheme="minorEastAsia"/>
          <w:i/>
          <w:sz w:val="22"/>
          <w:lang w:val="en-US"/>
        </w:rPr>
        <w:t>If feedback</w:t>
      </w:r>
      <w:r w:rsidR="00DB76A2">
        <w:rPr>
          <w:rFonts w:eastAsiaTheme="minorEastAsia"/>
          <w:i/>
          <w:sz w:val="22"/>
          <w:lang w:val="en-US"/>
        </w:rPr>
        <w:t>-</w:t>
      </w:r>
      <w:r w:rsidRPr="00A077A0">
        <w:rPr>
          <w:rFonts w:eastAsiaTheme="minorEastAsia"/>
          <w:i/>
          <w:sz w:val="22"/>
          <w:lang w:val="en-US"/>
        </w:rPr>
        <w:t>enabling/disabling configuration per HARQ process is</w:t>
      </w:r>
      <w:r>
        <w:rPr>
          <w:rFonts w:eastAsiaTheme="minorEastAsia"/>
          <w:i/>
          <w:sz w:val="22"/>
          <w:lang w:val="en-US"/>
        </w:rPr>
        <w:t xml:space="preserve"> common between dynamic PDSCH and SPS PDSCH, </w:t>
      </w:r>
      <w:r w:rsidRPr="00A077A0">
        <w:rPr>
          <w:rFonts w:eastAsiaTheme="minorEastAsia"/>
          <w:i/>
          <w:sz w:val="22"/>
          <w:lang w:val="en-US"/>
        </w:rPr>
        <w:t>many HARQ processes w</w:t>
      </w:r>
      <w:r>
        <w:rPr>
          <w:rFonts w:eastAsiaTheme="minorEastAsia"/>
          <w:i/>
          <w:sz w:val="22"/>
          <w:lang w:val="en-US"/>
        </w:rPr>
        <w:t>ould be configured with enabled feedback so that enabled feedback</w:t>
      </w:r>
      <w:r w:rsidRPr="00A077A0">
        <w:rPr>
          <w:rFonts w:eastAsiaTheme="minorEastAsia"/>
          <w:i/>
          <w:sz w:val="22"/>
          <w:lang w:val="en-US"/>
        </w:rPr>
        <w:t xml:space="preserve"> is applied to all of the SPS receptions.</w:t>
      </w:r>
    </w:p>
    <w:p w14:paraId="535C5D1D" w14:textId="77777777" w:rsidR="00BD161C" w:rsidRPr="00A077A0" w:rsidRDefault="00BD161C" w:rsidP="00BD161C">
      <w:pPr>
        <w:numPr>
          <w:ilvl w:val="1"/>
          <w:numId w:val="18"/>
        </w:numPr>
        <w:spacing w:before="50" w:afterLines="50" w:after="120"/>
        <w:jc w:val="both"/>
        <w:rPr>
          <w:rFonts w:eastAsiaTheme="minorEastAsia"/>
          <w:i/>
          <w:sz w:val="22"/>
          <w:lang w:val="en-US"/>
        </w:rPr>
      </w:pPr>
      <w:r w:rsidRPr="00A077A0">
        <w:rPr>
          <w:rFonts w:eastAsiaTheme="minorEastAsia"/>
          <w:i/>
          <w:sz w:val="22"/>
          <w:lang w:val="en-US"/>
        </w:rPr>
        <w:t>This aspect degrades flexibility of dynamic PDSCH scheduling with disabled feedback.</w:t>
      </w:r>
    </w:p>
    <w:p w14:paraId="196D12C1" w14:textId="77777777" w:rsidR="00BD161C" w:rsidRPr="00A077A0" w:rsidRDefault="00BD161C" w:rsidP="00BD161C">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2</w:t>
      </w:r>
      <w:r w:rsidRPr="00A077A0">
        <w:rPr>
          <w:rFonts w:eastAsiaTheme="minorEastAsia"/>
          <w:b/>
          <w:sz w:val="22"/>
          <w:u w:val="single"/>
          <w:lang w:val="en-US"/>
        </w:rPr>
        <w:t>:</w:t>
      </w:r>
    </w:p>
    <w:p w14:paraId="08753B33" w14:textId="21D13588" w:rsidR="00BD161C" w:rsidRPr="00A077A0" w:rsidRDefault="00054F40" w:rsidP="00BD161C">
      <w:pPr>
        <w:numPr>
          <w:ilvl w:val="0"/>
          <w:numId w:val="18"/>
        </w:numPr>
        <w:spacing w:before="50" w:afterLines="50" w:after="120"/>
        <w:jc w:val="both"/>
        <w:rPr>
          <w:rFonts w:eastAsiaTheme="minorEastAsia"/>
          <w:i/>
          <w:sz w:val="22"/>
          <w:lang w:val="en-US"/>
        </w:rPr>
      </w:pPr>
      <w:r>
        <w:rPr>
          <w:rFonts w:eastAsiaTheme="minorEastAsia"/>
          <w:i/>
          <w:sz w:val="22"/>
          <w:lang w:val="en-US"/>
        </w:rPr>
        <w:t>Feedback-e</w:t>
      </w:r>
      <w:r w:rsidR="00BD161C" w:rsidRPr="00A3692C">
        <w:rPr>
          <w:rFonts w:eastAsiaTheme="minorEastAsia"/>
          <w:i/>
          <w:sz w:val="22"/>
          <w:lang w:val="en-US"/>
        </w:rPr>
        <w:t xml:space="preserve">nabling/disabling </w:t>
      </w:r>
      <w:r>
        <w:rPr>
          <w:rFonts w:eastAsiaTheme="minorEastAsia"/>
          <w:i/>
          <w:sz w:val="22"/>
          <w:lang w:val="en-US"/>
        </w:rPr>
        <w:t>for SPS PDSCH is</w:t>
      </w:r>
      <w:r w:rsidR="00BD161C" w:rsidRPr="00A3692C">
        <w:rPr>
          <w:rFonts w:eastAsiaTheme="minorEastAsia"/>
          <w:i/>
          <w:sz w:val="22"/>
          <w:lang w:val="en-US"/>
        </w:rPr>
        <w:t xml:space="preserve"> separately configured </w:t>
      </w:r>
      <w:r>
        <w:rPr>
          <w:rFonts w:eastAsiaTheme="minorEastAsia"/>
          <w:i/>
          <w:sz w:val="22"/>
          <w:lang w:val="en-US"/>
        </w:rPr>
        <w:t>from configuration for dynamically scheduled PDSCH.</w:t>
      </w:r>
    </w:p>
    <w:p w14:paraId="4B15BB2F" w14:textId="77777777" w:rsidR="00BD161C" w:rsidRDefault="00BD161C" w:rsidP="00651377">
      <w:pPr>
        <w:spacing w:beforeLines="50" w:before="120" w:afterLines="50" w:after="120"/>
        <w:jc w:val="both"/>
        <w:rPr>
          <w:rFonts w:eastAsiaTheme="minorEastAsia"/>
          <w:iCs/>
          <w:sz w:val="22"/>
          <w:lang w:val="en-US"/>
        </w:rPr>
      </w:pPr>
    </w:p>
    <w:p w14:paraId="598DA193" w14:textId="77777777" w:rsidR="00D904E9" w:rsidRPr="00574A29" w:rsidRDefault="00D904E9" w:rsidP="00E80C9A">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Processing time constraints for SPS</w:t>
      </w:r>
    </w:p>
    <w:p w14:paraId="297C7B8A" w14:textId="61E69B60" w:rsidR="00D904E9" w:rsidRDefault="00D904E9" w:rsidP="00D904E9">
      <w:pPr>
        <w:spacing w:beforeLines="50" w:before="120" w:afterLines="50" w:after="120"/>
        <w:jc w:val="both"/>
        <w:rPr>
          <w:rFonts w:eastAsiaTheme="minorEastAsia"/>
          <w:iCs/>
          <w:sz w:val="22"/>
          <w:lang w:val="en-US"/>
        </w:rPr>
      </w:pPr>
      <w:r>
        <w:rPr>
          <w:rFonts w:eastAsiaTheme="minorEastAsia"/>
          <w:iCs/>
          <w:sz w:val="22"/>
          <w:lang w:val="en-US"/>
        </w:rPr>
        <w:t>Another</w:t>
      </w:r>
      <w:r w:rsidRPr="00A077A0">
        <w:rPr>
          <w:rFonts w:eastAsiaTheme="minorEastAsia"/>
          <w:iCs/>
          <w:sz w:val="22"/>
          <w:lang w:val="en-US"/>
        </w:rPr>
        <w:t xml:space="preserve"> sub-issue on SPS is processing time constraints. At the previous meetings, processing time constraints for PDSCH receptions with disabled feedback were agreed as captured below.</w:t>
      </w:r>
    </w:p>
    <w:tbl>
      <w:tblPr>
        <w:tblStyle w:val="afc"/>
        <w:tblW w:w="0" w:type="auto"/>
        <w:tblLook w:val="04A0" w:firstRow="1" w:lastRow="0" w:firstColumn="1" w:lastColumn="0" w:noHBand="0" w:noVBand="1"/>
      </w:tblPr>
      <w:tblGrid>
        <w:gridCol w:w="9962"/>
      </w:tblGrid>
      <w:tr w:rsidR="00D904E9" w14:paraId="76D5B483" w14:textId="77777777" w:rsidTr="008F65B5">
        <w:tc>
          <w:tcPr>
            <w:tcW w:w="9962" w:type="dxa"/>
          </w:tcPr>
          <w:p w14:paraId="279C2FA1" w14:textId="77777777" w:rsidR="00D904E9" w:rsidRPr="00A077A0" w:rsidRDefault="00D904E9" w:rsidP="008F65B5">
            <w:pPr>
              <w:spacing w:after="0"/>
              <w:jc w:val="both"/>
              <w:rPr>
                <w:rFonts w:eastAsia="ＭＳ 明朝"/>
                <w:sz w:val="20"/>
                <w:lang w:val="en-US" w:eastAsia="x-none"/>
              </w:rPr>
            </w:pPr>
            <w:r w:rsidRPr="00A077A0">
              <w:rPr>
                <w:rFonts w:eastAsia="ＭＳ 明朝"/>
                <w:sz w:val="20"/>
                <w:highlight w:val="green"/>
                <w:lang w:val="en-US" w:eastAsia="x-none"/>
              </w:rPr>
              <w:lastRenderedPageBreak/>
              <w:t>Agreement:</w:t>
            </w:r>
          </w:p>
          <w:p w14:paraId="2DDC0CCE" w14:textId="77777777" w:rsidR="00D904E9" w:rsidRPr="00A077A0" w:rsidRDefault="00D904E9" w:rsidP="008F65B5">
            <w:pPr>
              <w:spacing w:after="0"/>
              <w:jc w:val="both"/>
              <w:rPr>
                <w:rFonts w:eastAsia="ＭＳ 明朝"/>
                <w:color w:val="000000"/>
                <w:sz w:val="20"/>
                <w:lang w:val="en-US" w:eastAsia="zh-CN"/>
              </w:rPr>
            </w:pPr>
            <w:r w:rsidRPr="00A077A0">
              <w:rPr>
                <w:rFonts w:eastAsia="ＭＳ 明朝"/>
                <w:color w:val="000000"/>
                <w:sz w:val="20"/>
                <w:lang w:val="en-US"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6DE40217" w14:textId="77777777" w:rsidR="00D904E9" w:rsidRPr="00A077A0" w:rsidRDefault="00D904E9" w:rsidP="00D904E9">
            <w:pPr>
              <w:numPr>
                <w:ilvl w:val="0"/>
                <w:numId w:val="12"/>
              </w:numPr>
              <w:spacing w:after="0"/>
              <w:jc w:val="both"/>
              <w:rPr>
                <w:rFonts w:eastAsia="ＭＳ 明朝"/>
                <w:color w:val="000000"/>
                <w:sz w:val="20"/>
                <w:lang w:val="en-US" w:eastAsia="zh-CN"/>
              </w:rPr>
            </w:pPr>
            <w:r w:rsidRPr="00A077A0">
              <w:rPr>
                <w:rFonts w:eastAsia="ＭＳ 明朝"/>
                <w:color w:val="000000"/>
                <w:sz w:val="20"/>
                <w:lang w:val="en-US" w:eastAsia="zh-CN"/>
              </w:rPr>
              <w:t>Working assumption: X = T_proc,1</w:t>
            </w:r>
          </w:p>
          <w:p w14:paraId="5F312297" w14:textId="77777777" w:rsidR="00D904E9" w:rsidRPr="00A077A0" w:rsidRDefault="00D904E9" w:rsidP="00D904E9">
            <w:pPr>
              <w:numPr>
                <w:ilvl w:val="0"/>
                <w:numId w:val="12"/>
              </w:numPr>
              <w:spacing w:after="0"/>
              <w:jc w:val="both"/>
              <w:rPr>
                <w:rFonts w:eastAsia="ＭＳ 明朝"/>
                <w:color w:val="000000"/>
                <w:sz w:val="20"/>
                <w:lang w:val="en-US" w:eastAsia="zh-CN"/>
              </w:rPr>
            </w:pPr>
            <w:r w:rsidRPr="00A077A0">
              <w:rPr>
                <w:rFonts w:eastAsia="ＭＳ 明朝"/>
                <w:color w:val="000000"/>
                <w:sz w:val="20"/>
                <w:lang w:val="en-US" w:eastAsia="zh-CN"/>
              </w:rPr>
              <w:t>FFS: Whether X should be changed to X = max(T_proc,1, K1) where K1 is the minimum k1 if it is configured, otherwise k1 = 0</w:t>
            </w:r>
          </w:p>
          <w:p w14:paraId="7B08ECF8" w14:textId="77777777" w:rsidR="00D904E9" w:rsidRPr="00A077A0" w:rsidRDefault="00D904E9" w:rsidP="00D904E9">
            <w:pPr>
              <w:numPr>
                <w:ilvl w:val="0"/>
                <w:numId w:val="12"/>
              </w:numPr>
              <w:spacing w:after="0"/>
              <w:jc w:val="both"/>
              <w:rPr>
                <w:rFonts w:eastAsia="ＭＳ 明朝"/>
                <w:sz w:val="20"/>
                <w:lang w:val="en-US" w:eastAsia="x-none"/>
              </w:rPr>
            </w:pPr>
            <w:r w:rsidRPr="00A077A0">
              <w:rPr>
                <w:rFonts w:eastAsia="ＭＳ 明朝"/>
                <w:color w:val="000000"/>
                <w:sz w:val="20"/>
                <w:lang w:val="en-US" w:eastAsia="zh-CN"/>
              </w:rPr>
              <w:t>Note: The TB of the two PDSCHs can be either same or different</w:t>
            </w:r>
          </w:p>
          <w:p w14:paraId="2077D870" w14:textId="77777777" w:rsidR="00D904E9" w:rsidRPr="00A077A0" w:rsidRDefault="00D904E9" w:rsidP="008F65B5">
            <w:pPr>
              <w:spacing w:after="0"/>
              <w:jc w:val="both"/>
              <w:rPr>
                <w:rFonts w:eastAsia="Times New Roman"/>
                <w:sz w:val="20"/>
                <w:lang w:val="en-US"/>
              </w:rPr>
            </w:pPr>
            <w:r w:rsidRPr="00A077A0">
              <w:rPr>
                <w:rFonts w:eastAsia="ＭＳ 明朝"/>
                <w:color w:val="000000"/>
                <w:kern w:val="24"/>
                <w:sz w:val="20"/>
                <w:highlight w:val="green"/>
                <w:lang w:val="en-US"/>
              </w:rPr>
              <w:t>Agreement:</w:t>
            </w:r>
          </w:p>
          <w:p w14:paraId="30B6FB5C" w14:textId="77777777" w:rsidR="00D904E9" w:rsidRDefault="00D904E9" w:rsidP="008F65B5">
            <w:pPr>
              <w:spacing w:beforeLines="50" w:before="120" w:afterLines="50" w:after="120"/>
              <w:jc w:val="both"/>
              <w:rPr>
                <w:rFonts w:eastAsiaTheme="minorEastAsia"/>
                <w:iCs/>
                <w:sz w:val="22"/>
                <w:lang w:val="en-US"/>
              </w:rPr>
            </w:pPr>
            <w:r w:rsidRPr="00A077A0">
              <w:rPr>
                <w:rFonts w:eastAsia="ＭＳ 明朝" w:cs="+mn-cs"/>
                <w:color w:val="000000"/>
                <w:kern w:val="24"/>
                <w:sz w:val="20"/>
                <w:lang w:val="en-US"/>
              </w:rPr>
              <w:t>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tc>
      </w:tr>
      <w:tr w:rsidR="00E80C9A" w14:paraId="7440F552" w14:textId="77777777" w:rsidTr="008F65B5">
        <w:tc>
          <w:tcPr>
            <w:tcW w:w="9962" w:type="dxa"/>
          </w:tcPr>
          <w:p w14:paraId="0D09A5E3" w14:textId="212E9B6B" w:rsidR="00E80C9A" w:rsidRPr="00E80C9A" w:rsidRDefault="00E80C9A" w:rsidP="00E80C9A">
            <w:pPr>
              <w:spacing w:after="0"/>
              <w:rPr>
                <w:rFonts w:ascii="Times" w:eastAsia="Batang" w:hAnsi="Times"/>
                <w:color w:val="000000"/>
                <w:kern w:val="24"/>
                <w:sz w:val="16"/>
                <w:szCs w:val="16"/>
                <w:u w:val="single"/>
                <w:lang w:val="en-US"/>
              </w:rPr>
            </w:pPr>
            <w:r w:rsidRPr="00E80C9A">
              <w:rPr>
                <w:rFonts w:ascii="Times" w:eastAsia="Batang" w:hAnsi="Times"/>
                <w:color w:val="000000"/>
                <w:kern w:val="24"/>
                <w:sz w:val="16"/>
                <w:szCs w:val="16"/>
                <w:u w:val="single"/>
                <w:lang w:val="en-US"/>
              </w:rPr>
              <w:t>38.214 V17.0.0</w:t>
            </w:r>
          </w:p>
          <w:p w14:paraId="140D14DE" w14:textId="77777777" w:rsidR="00E80C9A" w:rsidRPr="00E80C9A" w:rsidRDefault="00E80C9A" w:rsidP="00E80C9A">
            <w:pPr>
              <w:spacing w:after="0"/>
              <w:rPr>
                <w:rFonts w:ascii="Times" w:eastAsia="Batang" w:hAnsi="Times"/>
                <w:color w:val="000000"/>
                <w:kern w:val="24"/>
                <w:sz w:val="16"/>
                <w:szCs w:val="16"/>
                <w:lang w:val="en-US"/>
              </w:rPr>
            </w:pPr>
          </w:p>
          <w:p w14:paraId="462D9E13" w14:textId="77777777" w:rsidR="00E80C9A" w:rsidRPr="00E80C9A" w:rsidRDefault="00E80C9A" w:rsidP="00E80C9A">
            <w:pPr>
              <w:spacing w:after="0"/>
              <w:rPr>
                <w:rFonts w:ascii="ＭＳ Ｐゴシック" w:eastAsia="ＭＳ Ｐゴシック" w:hAnsi="ＭＳ Ｐゴシック" w:cs="ＭＳ Ｐゴシック"/>
                <w:szCs w:val="24"/>
                <w:lang w:val="en-US"/>
              </w:rPr>
            </w:pPr>
            <w:r w:rsidRPr="00E80C9A">
              <w:rPr>
                <w:rFonts w:ascii="Calibri" w:eastAsia="メイリオ" w:hAnsi="Calibri" w:cs="+mn-cs"/>
                <w:b/>
                <w:bCs/>
                <w:color w:val="000000"/>
                <w:kern w:val="24"/>
                <w:sz w:val="16"/>
                <w:szCs w:val="16"/>
                <w:lang w:val="en-US"/>
              </w:rPr>
              <w:t>5.1</w:t>
            </w:r>
            <w:r w:rsidRPr="00E80C9A">
              <w:rPr>
                <w:rFonts w:ascii="Calibri" w:eastAsia="メイリオ" w:hAnsi="Calibri" w:cs="+mn-cs"/>
                <w:b/>
                <w:bCs/>
                <w:color w:val="000000"/>
                <w:kern w:val="24"/>
                <w:sz w:val="16"/>
                <w:szCs w:val="16"/>
                <w:lang w:val="en-US"/>
              </w:rPr>
              <w:tab/>
              <w:t>UE procedure for receiving the physical downlink shared channel</w:t>
            </w:r>
            <w:r w:rsidRPr="00E80C9A">
              <w:rPr>
                <w:rFonts w:ascii="Calibri" w:eastAsia="メイリオ" w:hAnsi="Calibri" w:cs="+mn-cs"/>
                <w:b/>
                <w:bCs/>
                <w:color w:val="000000"/>
                <w:kern w:val="24"/>
                <w:sz w:val="16"/>
                <w:szCs w:val="16"/>
              </w:rPr>
              <w:t xml:space="preserve"> </w:t>
            </w:r>
          </w:p>
          <w:p w14:paraId="5F1629F9" w14:textId="77777777" w:rsidR="00E80C9A" w:rsidRPr="00E80C9A" w:rsidRDefault="00E80C9A" w:rsidP="00E80C9A">
            <w:pPr>
              <w:spacing w:after="0"/>
              <w:rPr>
                <w:rFonts w:ascii="ＭＳ Ｐゴシック" w:eastAsia="ＭＳ Ｐゴシック" w:hAnsi="ＭＳ Ｐゴシック" w:cs="ＭＳ Ｐゴシック"/>
                <w:szCs w:val="24"/>
                <w:lang w:val="en-US"/>
              </w:rPr>
            </w:pPr>
            <w:r w:rsidRPr="00E80C9A">
              <w:rPr>
                <w:rFonts w:eastAsia="SimSun" w:cs="+mn-cs"/>
                <w:color w:val="000000"/>
                <w:kern w:val="24"/>
                <w:sz w:val="16"/>
                <w:szCs w:val="16"/>
              </w:rPr>
              <w:t>...</w:t>
            </w:r>
          </w:p>
          <w:p w14:paraId="705524F3" w14:textId="77777777" w:rsidR="00E80C9A" w:rsidRPr="00E80C9A" w:rsidRDefault="00E80C9A" w:rsidP="00E80C9A">
            <w:pPr>
              <w:spacing w:after="0"/>
              <w:rPr>
                <w:rFonts w:ascii="ＭＳ Ｐゴシック" w:eastAsia="ＭＳ Ｐゴシック" w:hAnsi="ＭＳ Ｐゴシック" w:cs="ＭＳ Ｐゴシック"/>
                <w:szCs w:val="24"/>
                <w:lang w:val="en-US"/>
              </w:rPr>
            </w:pPr>
            <w:r w:rsidRPr="00E80C9A">
              <w:rPr>
                <w:rFonts w:eastAsia="SimSun" w:cs="+mn-cs"/>
                <w:color w:val="000000"/>
                <w:kern w:val="24"/>
                <w:sz w:val="16"/>
                <w:szCs w:val="16"/>
              </w:rPr>
              <w:t xml:space="preserve">... </w:t>
            </w:r>
            <w:r w:rsidRPr="00E80C9A">
              <w:rPr>
                <w:rFonts w:eastAsia="DengXian" w:cs="+mn-cs"/>
                <w:color w:val="000000"/>
                <w:kern w:val="24"/>
                <w:sz w:val="16"/>
                <w:szCs w:val="16"/>
              </w:rPr>
              <w:t xml:space="preserve">When HARQ feedback for the HARQ process ID is not disabled, </w:t>
            </w:r>
            <w:r w:rsidRPr="00E80C9A">
              <w:rPr>
                <w:rFonts w:eastAsia="SimSun" w:cs="+mn-cs"/>
                <w:color w:val="000000"/>
                <w:kern w:val="24"/>
                <w:sz w:val="16"/>
                <w:szCs w:val="16"/>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t>
            </w:r>
            <w:r w:rsidRPr="00E80C9A">
              <w:rPr>
                <w:rFonts w:eastAsia="SimSun" w:cs="+mn-cs"/>
                <w:color w:val="00B050"/>
                <w:kern w:val="24"/>
                <w:sz w:val="16"/>
                <w:szCs w:val="16"/>
              </w:rPr>
              <w:t xml:space="preserve">When </w:t>
            </w:r>
            <w:r w:rsidRPr="00E80C9A">
              <w:rPr>
                <w:rFonts w:eastAsia="DengXian" w:cs="+mn-cs"/>
                <w:color w:val="00B050"/>
                <w:kern w:val="24"/>
                <w:sz w:val="16"/>
                <w:szCs w:val="16"/>
              </w:rPr>
              <w:t xml:space="preserve">HARQ feedback for the HARQ process ID is disabled, the UE is not expected to receive another PDCCH carrying a DCI scheduling a PDSCH or set of slot-aggregated PDSCH scheduled for the given HARQ process that starts until </w:t>
            </w:r>
            <w:r w:rsidRPr="00E80C9A">
              <w:rPr>
                <w:rFonts w:eastAsia="SimSun" w:cs="+mn-cs"/>
                <w:color w:val="00B050"/>
                <w:kern w:val="24"/>
                <w:sz w:val="16"/>
                <w:szCs w:val="16"/>
              </w:rPr>
              <w:t>T</w:t>
            </w:r>
            <w:r w:rsidRPr="00E80C9A">
              <w:rPr>
                <w:rFonts w:eastAsia="SimSun" w:cs="+mn-cs"/>
                <w:color w:val="00B050"/>
                <w:kern w:val="24"/>
                <w:position w:val="-4"/>
                <w:sz w:val="16"/>
                <w:szCs w:val="16"/>
                <w:vertAlign w:val="subscript"/>
              </w:rPr>
              <w:t>proc,1</w:t>
            </w:r>
            <w:r w:rsidRPr="00E80C9A">
              <w:rPr>
                <w:rFonts w:eastAsia="SimSun" w:cs="+mn-cs"/>
                <w:color w:val="00B050"/>
                <w:kern w:val="24"/>
                <w:sz w:val="16"/>
                <w:szCs w:val="16"/>
              </w:rPr>
              <w:t xml:space="preserve"> after the end of the reception of the last PDSCH or slot-aggregated PDSCH for that HARQ process.</w:t>
            </w:r>
            <w:r w:rsidRPr="00E80C9A">
              <w:rPr>
                <w:rFonts w:eastAsia="SimSun" w:cs="+mn-cs"/>
                <w:color w:val="000000"/>
                <w:kern w:val="24"/>
                <w:sz w:val="16"/>
                <w:szCs w:val="16"/>
              </w:rPr>
              <w:t xml:space="preserve"> ...</w:t>
            </w:r>
          </w:p>
          <w:p w14:paraId="2451E167" w14:textId="410AFE20" w:rsidR="00E80C9A" w:rsidRPr="00E80C9A" w:rsidRDefault="00E80C9A" w:rsidP="00E80C9A">
            <w:pPr>
              <w:spacing w:after="0"/>
              <w:rPr>
                <w:rFonts w:ascii="ＭＳ Ｐゴシック" w:eastAsia="ＭＳ Ｐゴシック" w:hAnsi="ＭＳ Ｐゴシック" w:cs="ＭＳ Ｐゴシック"/>
                <w:szCs w:val="24"/>
                <w:lang w:val="en-US"/>
              </w:rPr>
            </w:pPr>
            <w:r w:rsidRPr="00E80C9A">
              <w:rPr>
                <w:rFonts w:eastAsia="SimSun" w:cs="+mn-cs"/>
                <w:color w:val="000000"/>
                <w:kern w:val="24"/>
                <w:sz w:val="16"/>
                <w:szCs w:val="16"/>
              </w:rPr>
              <w:t>...</w:t>
            </w:r>
          </w:p>
        </w:tc>
      </w:tr>
    </w:tbl>
    <w:p w14:paraId="7F7AF95A" w14:textId="2F599A5F" w:rsidR="00D904E9" w:rsidRDefault="00D904E9" w:rsidP="00D904E9">
      <w:pPr>
        <w:spacing w:beforeLines="50" w:before="120" w:afterLines="50" w:after="120"/>
        <w:jc w:val="both"/>
        <w:rPr>
          <w:rFonts w:eastAsiaTheme="minorEastAsia"/>
          <w:iCs/>
          <w:sz w:val="22"/>
          <w:lang w:val="en-US"/>
        </w:rPr>
      </w:pPr>
      <w:r w:rsidRPr="00A077A0">
        <w:rPr>
          <w:rFonts w:eastAsiaTheme="minorEastAsia"/>
          <w:iCs/>
          <w:sz w:val="22"/>
          <w:lang w:val="en-US"/>
        </w:rPr>
        <w:t xml:space="preserve">After the end of a PDSCH reception at time t, UE does not expect to receive a PDCCH carrying a DCI scheduling another PDSCH that starts within [t, t+T_proc,1). </w:t>
      </w:r>
      <w:r w:rsidR="00E80C9A">
        <w:rPr>
          <w:rFonts w:eastAsiaTheme="minorEastAsia"/>
          <w:iCs/>
          <w:sz w:val="22"/>
          <w:lang w:val="en-US"/>
        </w:rPr>
        <w:t xml:space="preserve">The corresponding text is added as above with </w:t>
      </w:r>
      <w:r w:rsidR="00062A92" w:rsidRPr="00062A92">
        <w:rPr>
          <w:rFonts w:eastAsiaTheme="minorEastAsia"/>
          <w:iCs/>
          <w:color w:val="00B050"/>
          <w:sz w:val="22"/>
          <w:lang w:val="en-US"/>
        </w:rPr>
        <w:t>green</w:t>
      </w:r>
      <w:r w:rsidR="00E80C9A" w:rsidRPr="00062A92">
        <w:rPr>
          <w:rFonts w:eastAsiaTheme="minorEastAsia"/>
          <w:iCs/>
          <w:color w:val="00B050"/>
          <w:sz w:val="22"/>
          <w:lang w:val="en-US"/>
        </w:rPr>
        <w:t xml:space="preserve"> color</w:t>
      </w:r>
      <w:r w:rsidR="00E80C9A" w:rsidRPr="00E80C9A">
        <w:rPr>
          <w:rFonts w:eastAsiaTheme="minorEastAsia"/>
          <w:iCs/>
          <w:sz w:val="22"/>
          <w:lang w:val="en-US"/>
        </w:rPr>
        <w:t>.</w:t>
      </w:r>
      <w:r w:rsidR="00E80C9A">
        <w:rPr>
          <w:rFonts w:eastAsiaTheme="minorEastAsia"/>
          <w:iCs/>
          <w:sz w:val="22"/>
          <w:lang w:val="en-US"/>
        </w:rPr>
        <w:t xml:space="preserve"> </w:t>
      </w:r>
      <w:r w:rsidRPr="00A077A0">
        <w:rPr>
          <w:rFonts w:eastAsiaTheme="minorEastAsia"/>
          <w:iCs/>
          <w:sz w:val="22"/>
          <w:lang w:val="en-US"/>
        </w:rPr>
        <w:t xml:space="preserve">However, this does not cover SPS case except the initial one with activation since there is no corresponding PDCCH. The agreement at the last meeting should be updated as the following proposal with </w:t>
      </w:r>
      <w:r w:rsidRPr="00A077A0">
        <w:rPr>
          <w:rFonts w:eastAsiaTheme="minorEastAsia"/>
          <w:iCs/>
          <w:color w:val="FF0000"/>
          <w:sz w:val="22"/>
          <w:u w:val="single"/>
          <w:lang w:val="en-US"/>
        </w:rPr>
        <w:t>red color</w:t>
      </w:r>
      <w:r w:rsidRPr="00A077A0">
        <w:rPr>
          <w:sz w:val="22"/>
          <w:lang w:val="en-US"/>
        </w:rPr>
        <w:t xml:space="preserve"> so that any SPS PDSCH reception is included</w:t>
      </w:r>
      <w:r w:rsidRPr="00A077A0">
        <w:rPr>
          <w:rFonts w:eastAsiaTheme="minorEastAsia"/>
          <w:iCs/>
          <w:sz w:val="22"/>
          <w:lang w:val="en-US"/>
        </w:rPr>
        <w:t>.</w:t>
      </w:r>
    </w:p>
    <w:p w14:paraId="2BBCE3F6" w14:textId="77777777" w:rsidR="00D904E9" w:rsidRPr="00A077A0" w:rsidRDefault="00D904E9" w:rsidP="00D904E9">
      <w:pPr>
        <w:pStyle w:val="afe"/>
        <w:spacing w:beforeLines="50" w:before="120" w:afterLines="50" w:after="120"/>
        <w:ind w:leftChars="0" w:left="0"/>
        <w:jc w:val="center"/>
        <w:rPr>
          <w:rFonts w:eastAsiaTheme="minorEastAsia"/>
          <w:iCs/>
          <w:sz w:val="22"/>
          <w:lang w:val="en-US"/>
        </w:rPr>
      </w:pPr>
      <w:r w:rsidRPr="00A077A0">
        <w:rPr>
          <w:noProof/>
          <w:lang w:val="en-US"/>
        </w:rPr>
        <w:drawing>
          <wp:inline distT="0" distB="0" distL="0" distR="0" wp14:anchorId="599509DB" wp14:editId="45A7EDA0">
            <wp:extent cx="6332220" cy="766125"/>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766125"/>
                    </a:xfrm>
                    <a:prstGeom prst="rect">
                      <a:avLst/>
                    </a:prstGeom>
                    <a:noFill/>
                    <a:ln>
                      <a:noFill/>
                    </a:ln>
                  </pic:spPr>
                </pic:pic>
              </a:graphicData>
            </a:graphic>
          </wp:inline>
        </w:drawing>
      </w:r>
    </w:p>
    <w:p w14:paraId="08822E5C" w14:textId="12C6C522" w:rsidR="00D904E9" w:rsidRPr="00A077A0" w:rsidRDefault="00D904E9" w:rsidP="00D904E9">
      <w:pPr>
        <w:pStyle w:val="afe"/>
        <w:spacing w:beforeLines="50" w:before="120" w:afterLines="50" w:after="120"/>
        <w:ind w:leftChars="0" w:left="0"/>
        <w:jc w:val="center"/>
        <w:rPr>
          <w:rFonts w:eastAsiaTheme="minorEastAsia"/>
          <w:iCs/>
          <w:sz w:val="22"/>
          <w:lang w:val="en-US"/>
        </w:rPr>
      </w:pPr>
      <w:r w:rsidRPr="00A077A0">
        <w:rPr>
          <w:rFonts w:eastAsiaTheme="minorEastAsia"/>
          <w:iCs/>
          <w:sz w:val="22"/>
          <w:lang w:val="en-US"/>
        </w:rPr>
        <w:t xml:space="preserve">Fig. </w:t>
      </w:r>
      <w:r w:rsidR="00062A92">
        <w:rPr>
          <w:rFonts w:eastAsiaTheme="minorEastAsia"/>
          <w:iCs/>
          <w:sz w:val="22"/>
          <w:lang w:val="en-US"/>
        </w:rPr>
        <w:t>2</w:t>
      </w:r>
      <w:r w:rsidRPr="00A077A0">
        <w:rPr>
          <w:rFonts w:eastAsiaTheme="minorEastAsia"/>
          <w:iCs/>
          <w:sz w:val="22"/>
          <w:lang w:val="en-US"/>
        </w:rPr>
        <w:t>: Processing time constraints for SPS PDSCH receptions</w:t>
      </w:r>
    </w:p>
    <w:p w14:paraId="053938AC" w14:textId="6FEBC3CA" w:rsidR="00D904E9" w:rsidRPr="00A077A0" w:rsidRDefault="00D904E9" w:rsidP="00D904E9">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3</w:t>
      </w:r>
      <w:r w:rsidRPr="00A077A0">
        <w:rPr>
          <w:rFonts w:eastAsiaTheme="minorEastAsia"/>
          <w:b/>
          <w:sz w:val="22"/>
          <w:u w:val="single"/>
          <w:lang w:val="en-US"/>
        </w:rPr>
        <w:t>:</w:t>
      </w:r>
    </w:p>
    <w:p w14:paraId="7F3FC944" w14:textId="0AD5D840" w:rsidR="00D904E9" w:rsidRPr="00A077A0" w:rsidRDefault="00D904E9" w:rsidP="00D904E9">
      <w:pPr>
        <w:numPr>
          <w:ilvl w:val="0"/>
          <w:numId w:val="18"/>
        </w:numPr>
        <w:spacing w:before="50" w:afterLines="50" w:after="120"/>
        <w:jc w:val="both"/>
        <w:rPr>
          <w:rFonts w:eastAsiaTheme="minorEastAsia"/>
          <w:i/>
          <w:sz w:val="22"/>
          <w:lang w:val="en-US"/>
        </w:rPr>
      </w:pPr>
      <w:r w:rsidRPr="00A077A0">
        <w:rPr>
          <w:rFonts w:eastAsiaTheme="minorEastAsia"/>
          <w:i/>
          <w:sz w:val="22"/>
          <w:lang w:val="en-US"/>
        </w:rPr>
        <w:t>Update the RAN1#105-e agreement</w:t>
      </w:r>
      <w:r w:rsidR="00062A92">
        <w:rPr>
          <w:rFonts w:eastAsiaTheme="minorEastAsia"/>
          <w:i/>
          <w:sz w:val="22"/>
          <w:lang w:val="en-US"/>
        </w:rPr>
        <w:t xml:space="preserve"> and apply the following TP.</w:t>
      </w:r>
    </w:p>
    <w:p w14:paraId="4D192B0A" w14:textId="77777777" w:rsidR="00D904E9" w:rsidRPr="00A077A0" w:rsidRDefault="00D904E9" w:rsidP="00D904E9">
      <w:pPr>
        <w:numPr>
          <w:ilvl w:val="1"/>
          <w:numId w:val="18"/>
        </w:numPr>
        <w:spacing w:before="50" w:afterLines="50" w:after="120"/>
        <w:jc w:val="both"/>
        <w:rPr>
          <w:rFonts w:eastAsiaTheme="minorEastAsia"/>
          <w:i/>
          <w:sz w:val="22"/>
          <w:lang w:val="en-US"/>
        </w:rPr>
      </w:pPr>
      <w:r w:rsidRPr="00A077A0">
        <w:rPr>
          <w:rFonts w:eastAsiaTheme="minorEastAsia"/>
          <w:i/>
          <w:sz w:val="22"/>
          <w:lang w:val="en-US"/>
        </w:rPr>
        <w:t xml:space="preserve">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w:t>
      </w:r>
      <w:r w:rsidRPr="00A077A0">
        <w:rPr>
          <w:rFonts w:eastAsiaTheme="minorEastAsia"/>
          <w:i/>
          <w:color w:val="FF0000"/>
          <w:sz w:val="22"/>
          <w:u w:val="single"/>
          <w:lang w:val="en-US"/>
        </w:rPr>
        <w:t>or the PDSCH without corresponding PDCCH</w:t>
      </w:r>
      <w:r w:rsidRPr="00A077A0">
        <w:rPr>
          <w:rFonts w:eastAsiaTheme="minorEastAsia"/>
          <w:i/>
          <w:color w:val="FF0000"/>
          <w:sz w:val="22"/>
          <w:lang w:val="en-US"/>
        </w:rPr>
        <w:t xml:space="preserve"> </w:t>
      </w:r>
      <w:r w:rsidRPr="00A077A0">
        <w:rPr>
          <w:rFonts w:eastAsiaTheme="minorEastAsia"/>
          <w:i/>
          <w:sz w:val="22"/>
          <w:lang w:val="en-US"/>
        </w:rPr>
        <w:t>for the given HARQ process.</w:t>
      </w:r>
    </w:p>
    <w:tbl>
      <w:tblPr>
        <w:tblStyle w:val="afc"/>
        <w:tblW w:w="0" w:type="auto"/>
        <w:tblLook w:val="04A0" w:firstRow="1" w:lastRow="0" w:firstColumn="1" w:lastColumn="0" w:noHBand="0" w:noVBand="1"/>
      </w:tblPr>
      <w:tblGrid>
        <w:gridCol w:w="9962"/>
      </w:tblGrid>
      <w:tr w:rsidR="00062A92" w14:paraId="12AC9203" w14:textId="77777777" w:rsidTr="00513CEB">
        <w:tc>
          <w:tcPr>
            <w:tcW w:w="9962" w:type="dxa"/>
          </w:tcPr>
          <w:p w14:paraId="0106DF9C" w14:textId="77777777" w:rsidR="00062A92" w:rsidRPr="00E80C9A" w:rsidRDefault="00062A92" w:rsidP="00513CEB">
            <w:pPr>
              <w:spacing w:after="0"/>
              <w:rPr>
                <w:rFonts w:ascii="Times" w:eastAsia="Batang" w:hAnsi="Times"/>
                <w:color w:val="000000"/>
                <w:kern w:val="24"/>
                <w:sz w:val="16"/>
                <w:szCs w:val="16"/>
                <w:u w:val="single"/>
                <w:lang w:val="en-US"/>
              </w:rPr>
            </w:pPr>
            <w:r w:rsidRPr="00E80C9A">
              <w:rPr>
                <w:rFonts w:ascii="Times" w:eastAsia="Batang" w:hAnsi="Times"/>
                <w:color w:val="000000"/>
                <w:kern w:val="24"/>
                <w:sz w:val="16"/>
                <w:szCs w:val="16"/>
                <w:u w:val="single"/>
                <w:lang w:val="en-US"/>
              </w:rPr>
              <w:t>38.214 V17.0.0</w:t>
            </w:r>
          </w:p>
          <w:p w14:paraId="7FBD139F" w14:textId="77777777" w:rsidR="00062A92" w:rsidRPr="00E80C9A" w:rsidRDefault="00062A92" w:rsidP="00513CEB">
            <w:pPr>
              <w:spacing w:after="0"/>
              <w:rPr>
                <w:rFonts w:ascii="Times" w:eastAsia="Batang" w:hAnsi="Times"/>
                <w:color w:val="000000"/>
                <w:kern w:val="24"/>
                <w:sz w:val="16"/>
                <w:szCs w:val="16"/>
                <w:lang w:val="en-US"/>
              </w:rPr>
            </w:pPr>
          </w:p>
          <w:p w14:paraId="13A6C48F" w14:textId="77777777" w:rsidR="00062A92" w:rsidRPr="00E80C9A" w:rsidRDefault="00062A92" w:rsidP="00513CEB">
            <w:pPr>
              <w:spacing w:after="0"/>
              <w:rPr>
                <w:rFonts w:ascii="ＭＳ Ｐゴシック" w:eastAsia="ＭＳ Ｐゴシック" w:hAnsi="ＭＳ Ｐゴシック" w:cs="ＭＳ Ｐゴシック"/>
                <w:szCs w:val="24"/>
                <w:lang w:val="en-US"/>
              </w:rPr>
            </w:pPr>
            <w:r w:rsidRPr="00E80C9A">
              <w:rPr>
                <w:rFonts w:ascii="Calibri" w:eastAsia="メイリオ" w:hAnsi="Calibri" w:cs="+mn-cs"/>
                <w:b/>
                <w:bCs/>
                <w:color w:val="000000"/>
                <w:kern w:val="24"/>
                <w:sz w:val="16"/>
                <w:szCs w:val="16"/>
                <w:lang w:val="en-US"/>
              </w:rPr>
              <w:t>5.1</w:t>
            </w:r>
            <w:r w:rsidRPr="00E80C9A">
              <w:rPr>
                <w:rFonts w:ascii="Calibri" w:eastAsia="メイリオ" w:hAnsi="Calibri" w:cs="+mn-cs"/>
                <w:b/>
                <w:bCs/>
                <w:color w:val="000000"/>
                <w:kern w:val="24"/>
                <w:sz w:val="16"/>
                <w:szCs w:val="16"/>
                <w:lang w:val="en-US"/>
              </w:rPr>
              <w:tab/>
              <w:t>UE procedure for receiving the physical downlink shared channel</w:t>
            </w:r>
            <w:r w:rsidRPr="00E80C9A">
              <w:rPr>
                <w:rFonts w:ascii="Calibri" w:eastAsia="メイリオ" w:hAnsi="Calibri" w:cs="+mn-cs"/>
                <w:b/>
                <w:bCs/>
                <w:color w:val="000000"/>
                <w:kern w:val="24"/>
                <w:sz w:val="16"/>
                <w:szCs w:val="16"/>
              </w:rPr>
              <w:t xml:space="preserve"> </w:t>
            </w:r>
          </w:p>
          <w:p w14:paraId="7FCF6275" w14:textId="77777777" w:rsidR="00062A92" w:rsidRPr="00E80C9A" w:rsidRDefault="00062A92" w:rsidP="00513CEB">
            <w:pPr>
              <w:spacing w:after="0"/>
              <w:rPr>
                <w:rFonts w:ascii="ＭＳ Ｐゴシック" w:eastAsia="ＭＳ Ｐゴシック" w:hAnsi="ＭＳ Ｐゴシック" w:cs="ＭＳ Ｐゴシック"/>
                <w:szCs w:val="24"/>
                <w:lang w:val="en-US"/>
              </w:rPr>
            </w:pPr>
            <w:r w:rsidRPr="00E80C9A">
              <w:rPr>
                <w:rFonts w:eastAsia="SimSun" w:cs="+mn-cs"/>
                <w:color w:val="000000"/>
                <w:kern w:val="24"/>
                <w:sz w:val="16"/>
                <w:szCs w:val="16"/>
              </w:rPr>
              <w:t>...</w:t>
            </w:r>
          </w:p>
          <w:p w14:paraId="520131C4" w14:textId="5A5D7227" w:rsidR="00062A92" w:rsidRPr="00E80C9A" w:rsidRDefault="00062A92" w:rsidP="00513CEB">
            <w:pPr>
              <w:spacing w:after="0"/>
              <w:rPr>
                <w:rFonts w:ascii="ＭＳ Ｐゴシック" w:eastAsia="ＭＳ Ｐゴシック" w:hAnsi="ＭＳ Ｐゴシック" w:cs="ＭＳ Ｐゴシック"/>
                <w:szCs w:val="24"/>
                <w:lang w:val="en-US"/>
              </w:rPr>
            </w:pPr>
            <w:r w:rsidRPr="00E80C9A">
              <w:rPr>
                <w:rFonts w:eastAsia="SimSun" w:cs="+mn-cs"/>
                <w:color w:val="000000"/>
                <w:kern w:val="24"/>
                <w:sz w:val="16"/>
                <w:szCs w:val="16"/>
              </w:rPr>
              <w:t xml:space="preserve">... </w:t>
            </w:r>
            <w:r w:rsidRPr="00E80C9A">
              <w:rPr>
                <w:rFonts w:eastAsia="DengXian" w:cs="+mn-cs"/>
                <w:color w:val="000000"/>
                <w:kern w:val="24"/>
                <w:sz w:val="16"/>
                <w:szCs w:val="16"/>
              </w:rPr>
              <w:t xml:space="preserve">When HARQ feedback for the HARQ process ID is not disabled, </w:t>
            </w:r>
            <w:r w:rsidRPr="00E80C9A">
              <w:rPr>
                <w:rFonts w:eastAsia="SimSun" w:cs="+mn-cs"/>
                <w:color w:val="000000"/>
                <w:kern w:val="24"/>
                <w:sz w:val="16"/>
                <w:szCs w:val="16"/>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t>
            </w:r>
            <w:r w:rsidRPr="00E80C9A">
              <w:rPr>
                <w:rFonts w:eastAsia="SimSun" w:cs="+mn-cs"/>
                <w:kern w:val="24"/>
                <w:sz w:val="16"/>
                <w:szCs w:val="16"/>
              </w:rPr>
              <w:t xml:space="preserve">When </w:t>
            </w:r>
            <w:r w:rsidRPr="00E80C9A">
              <w:rPr>
                <w:rFonts w:eastAsia="DengXian" w:cs="+mn-cs"/>
                <w:kern w:val="24"/>
                <w:sz w:val="16"/>
                <w:szCs w:val="16"/>
              </w:rPr>
              <w:t>HARQ feedback for the HARQ process ID is disabled, the UE is not expected to receive another PDCCH carrying a DCI scheduling a PDSCH or set of slot-aggregated PDSCH scheduled for the given HARQ process</w:t>
            </w:r>
            <w:r>
              <w:rPr>
                <w:rFonts w:eastAsia="DengXian" w:cs="+mn-cs"/>
                <w:kern w:val="24"/>
                <w:sz w:val="16"/>
                <w:szCs w:val="16"/>
              </w:rPr>
              <w:t xml:space="preserve"> </w:t>
            </w:r>
            <w:r w:rsidRPr="00062A92">
              <w:rPr>
                <w:rFonts w:eastAsia="DengXian" w:cs="+mn-cs"/>
                <w:color w:val="FF0000"/>
                <w:kern w:val="24"/>
                <w:sz w:val="16"/>
                <w:szCs w:val="16"/>
                <w:u w:val="single"/>
              </w:rPr>
              <w:t>or to receive another PDSCH without corresponding PDCCH scheduled for the given HARQ process</w:t>
            </w:r>
            <w:r w:rsidRPr="00062A92">
              <w:rPr>
                <w:rFonts w:eastAsia="DengXian" w:cs="+mn-cs"/>
                <w:kern w:val="24"/>
                <w:sz w:val="16"/>
                <w:szCs w:val="16"/>
              </w:rPr>
              <w:t xml:space="preserve"> </w:t>
            </w:r>
            <w:r w:rsidRPr="00E80C9A">
              <w:rPr>
                <w:rFonts w:eastAsia="DengXian" w:cs="+mn-cs"/>
                <w:kern w:val="24"/>
                <w:sz w:val="16"/>
                <w:szCs w:val="16"/>
              </w:rPr>
              <w:t xml:space="preserve">that starts until </w:t>
            </w:r>
            <w:r w:rsidRPr="00E80C9A">
              <w:rPr>
                <w:rFonts w:eastAsia="SimSun" w:cs="+mn-cs"/>
                <w:kern w:val="24"/>
                <w:sz w:val="16"/>
                <w:szCs w:val="16"/>
              </w:rPr>
              <w:t>T</w:t>
            </w:r>
            <w:r w:rsidRPr="00E80C9A">
              <w:rPr>
                <w:rFonts w:eastAsia="SimSun" w:cs="+mn-cs"/>
                <w:kern w:val="24"/>
                <w:position w:val="-4"/>
                <w:sz w:val="16"/>
                <w:szCs w:val="16"/>
                <w:vertAlign w:val="subscript"/>
              </w:rPr>
              <w:t>proc,1</w:t>
            </w:r>
            <w:r w:rsidRPr="00E80C9A">
              <w:rPr>
                <w:rFonts w:eastAsia="SimSun" w:cs="+mn-cs"/>
                <w:kern w:val="24"/>
                <w:sz w:val="16"/>
                <w:szCs w:val="16"/>
              </w:rPr>
              <w:t xml:space="preserve"> after the end of the reception of the last PDSCH or slot-aggregated PDSCH for that HARQ process. </w:t>
            </w:r>
            <w:r w:rsidRPr="00E80C9A">
              <w:rPr>
                <w:rFonts w:eastAsia="SimSun" w:cs="+mn-cs"/>
                <w:color w:val="000000"/>
                <w:kern w:val="24"/>
                <w:sz w:val="16"/>
                <w:szCs w:val="16"/>
              </w:rPr>
              <w:t>...</w:t>
            </w:r>
          </w:p>
          <w:p w14:paraId="12DF116F" w14:textId="77777777" w:rsidR="00062A92" w:rsidRPr="00E80C9A" w:rsidRDefault="00062A92" w:rsidP="00513CEB">
            <w:pPr>
              <w:spacing w:after="0"/>
              <w:rPr>
                <w:rFonts w:ascii="ＭＳ Ｐゴシック" w:eastAsia="ＭＳ Ｐゴシック" w:hAnsi="ＭＳ Ｐゴシック" w:cs="ＭＳ Ｐゴシック"/>
                <w:szCs w:val="24"/>
                <w:lang w:val="en-US"/>
              </w:rPr>
            </w:pPr>
            <w:r w:rsidRPr="00E80C9A">
              <w:rPr>
                <w:rFonts w:eastAsia="SimSun" w:cs="+mn-cs"/>
                <w:color w:val="000000"/>
                <w:kern w:val="24"/>
                <w:sz w:val="16"/>
                <w:szCs w:val="16"/>
              </w:rPr>
              <w:t>...</w:t>
            </w:r>
          </w:p>
        </w:tc>
      </w:tr>
    </w:tbl>
    <w:p w14:paraId="10AE1275" w14:textId="77777777" w:rsidR="00062A92" w:rsidRDefault="00062A92" w:rsidP="007B7225">
      <w:pPr>
        <w:spacing w:beforeLines="50" w:before="120" w:afterLines="50" w:after="120"/>
        <w:jc w:val="both"/>
        <w:rPr>
          <w:rFonts w:eastAsiaTheme="minorEastAsia"/>
          <w:iCs/>
          <w:sz w:val="22"/>
          <w:lang w:val="en-US"/>
        </w:rPr>
      </w:pPr>
    </w:p>
    <w:p w14:paraId="70410BB6" w14:textId="60E07AB3" w:rsidR="00B319E3" w:rsidRPr="00A077A0" w:rsidRDefault="00770B4F" w:rsidP="00B319E3">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A077A0">
        <w:rPr>
          <w:rFonts w:ascii="Arial" w:eastAsia="DengXian" w:hAnsi="Arial"/>
          <w:b/>
          <w:kern w:val="28"/>
          <w:sz w:val="22"/>
          <w:szCs w:val="22"/>
          <w:lang w:val="en-US" w:eastAsia="zh-CN"/>
        </w:rPr>
        <w:lastRenderedPageBreak/>
        <w:t>Disabl</w:t>
      </w:r>
      <w:r w:rsidR="0083761A" w:rsidRPr="00A077A0">
        <w:rPr>
          <w:rFonts w:ascii="Arial" w:eastAsia="DengXian" w:hAnsi="Arial"/>
          <w:b/>
          <w:kern w:val="28"/>
          <w:sz w:val="22"/>
          <w:szCs w:val="22"/>
          <w:lang w:val="en-US" w:eastAsia="zh-CN"/>
        </w:rPr>
        <w:t>ed</w:t>
      </w:r>
      <w:r w:rsidRPr="00A077A0">
        <w:rPr>
          <w:rFonts w:ascii="Arial" w:eastAsia="DengXian" w:hAnsi="Arial"/>
          <w:b/>
          <w:kern w:val="28"/>
          <w:sz w:val="22"/>
          <w:szCs w:val="22"/>
          <w:lang w:val="en-US" w:eastAsia="zh-CN"/>
        </w:rPr>
        <w:t xml:space="preserve"> HARQ feedback</w:t>
      </w:r>
      <w:r w:rsidR="00F058E8">
        <w:rPr>
          <w:rFonts w:ascii="Arial" w:eastAsia="DengXian" w:hAnsi="Arial"/>
          <w:b/>
          <w:kern w:val="28"/>
          <w:sz w:val="22"/>
          <w:szCs w:val="22"/>
          <w:lang w:val="en-US" w:eastAsia="zh-CN"/>
        </w:rPr>
        <w:t xml:space="preserve"> in Type 2 HARQ-ACK CB</w:t>
      </w:r>
    </w:p>
    <w:tbl>
      <w:tblPr>
        <w:tblStyle w:val="afc"/>
        <w:tblW w:w="0" w:type="auto"/>
        <w:tblLook w:val="04A0" w:firstRow="1" w:lastRow="0" w:firstColumn="1" w:lastColumn="0" w:noHBand="0" w:noVBand="1"/>
      </w:tblPr>
      <w:tblGrid>
        <w:gridCol w:w="9962"/>
      </w:tblGrid>
      <w:tr w:rsidR="00284247" w:rsidRPr="00284247" w14:paraId="7A9B544B" w14:textId="77777777" w:rsidTr="00CB281A">
        <w:tc>
          <w:tcPr>
            <w:tcW w:w="9962" w:type="dxa"/>
          </w:tcPr>
          <w:p w14:paraId="39DDD7A9" w14:textId="77777777" w:rsidR="00EF6233" w:rsidRPr="00EF6233" w:rsidRDefault="00EF6233" w:rsidP="00EF6233">
            <w:pPr>
              <w:spacing w:after="0"/>
              <w:rPr>
                <w:rFonts w:ascii="ＭＳ Ｐゴシック" w:eastAsia="ＭＳ Ｐゴシック" w:hAnsi="ＭＳ Ｐゴシック" w:cs="ＭＳ Ｐゴシック"/>
                <w:szCs w:val="24"/>
                <w:lang w:val="en-US"/>
              </w:rPr>
            </w:pPr>
            <w:r w:rsidRPr="00EF6233">
              <w:rPr>
                <w:rFonts w:ascii="Times" w:eastAsia="Batang" w:hAnsi="Times"/>
                <w:b/>
                <w:bCs/>
                <w:color w:val="000000"/>
                <w:kern w:val="24"/>
                <w:sz w:val="16"/>
                <w:szCs w:val="16"/>
                <w:highlight w:val="green"/>
              </w:rPr>
              <w:t>Agreement</w:t>
            </w:r>
          </w:p>
          <w:p w14:paraId="0EA73761" w14:textId="77777777" w:rsidR="00EF6233" w:rsidRPr="00EF6233" w:rsidRDefault="00EF6233" w:rsidP="00EF6233">
            <w:pPr>
              <w:spacing w:after="0"/>
              <w:rPr>
                <w:rFonts w:ascii="ＭＳ Ｐゴシック" w:eastAsia="ＭＳ Ｐゴシック" w:hAnsi="ＭＳ Ｐゴシック" w:cs="ＭＳ Ｐゴシック"/>
                <w:szCs w:val="24"/>
                <w:lang w:val="en-US"/>
              </w:rPr>
            </w:pPr>
            <w:r w:rsidRPr="00EF6233">
              <w:rPr>
                <w:rFonts w:ascii="Times" w:eastAsia="Batang" w:hAnsi="Times"/>
                <w:color w:val="000000"/>
                <w:kern w:val="24"/>
                <w:sz w:val="16"/>
                <w:szCs w:val="16"/>
              </w:rPr>
              <w:t>The bit-fields related to the HARQ-ACK feedback (i.e., PRI, PUSCH-to-HARQ_feedback timing, DAI) are unchanged for the DCI of PDSCH with feedback-disabled HARQ process in Rel-17 with the same interpretation from UE as for feedback-enabled HARQ process</w:t>
            </w:r>
          </w:p>
          <w:p w14:paraId="372752AC" w14:textId="0E7D13B1" w:rsidR="00EF6233" w:rsidRPr="00EF6233" w:rsidRDefault="00EF6233" w:rsidP="00EF6233">
            <w:pPr>
              <w:numPr>
                <w:ilvl w:val="0"/>
                <w:numId w:val="31"/>
              </w:numPr>
              <w:spacing w:after="0"/>
              <w:ind w:left="1267"/>
              <w:rPr>
                <w:rFonts w:ascii="ＭＳ Ｐゴシック" w:eastAsia="ＭＳ Ｐゴシック" w:hAnsi="ＭＳ Ｐゴシック" w:cs="ＭＳ Ｐゴシック"/>
                <w:sz w:val="16"/>
                <w:szCs w:val="24"/>
                <w:lang w:val="en-US"/>
              </w:rPr>
            </w:pPr>
            <w:r w:rsidRPr="00EF6233">
              <w:rPr>
                <w:rFonts w:ascii="Times" w:eastAsia="Batang" w:hAnsi="Times"/>
                <w:color w:val="000000"/>
                <w:kern w:val="24"/>
                <w:sz w:val="16"/>
                <w:szCs w:val="16"/>
              </w:rPr>
              <w:t>Note: The interpretation regarding the DAI for Type-2 codebook is up to the progress of codebook design.</w:t>
            </w:r>
          </w:p>
        </w:tc>
      </w:tr>
      <w:tr w:rsidR="00EF6233" w:rsidRPr="00284247" w14:paraId="5D7EE5C4" w14:textId="77777777" w:rsidTr="00CB281A">
        <w:tc>
          <w:tcPr>
            <w:tcW w:w="9962" w:type="dxa"/>
          </w:tcPr>
          <w:p w14:paraId="0B018975" w14:textId="68B395E4" w:rsidR="00EF6233" w:rsidRPr="00EF6233" w:rsidRDefault="00EF6233" w:rsidP="00EF6233">
            <w:pPr>
              <w:spacing w:after="0"/>
              <w:rPr>
                <w:rFonts w:eastAsia="SimSun" w:cs="+mn-cs"/>
                <w:color w:val="000000"/>
                <w:kern w:val="24"/>
                <w:sz w:val="16"/>
                <w:szCs w:val="16"/>
                <w:u w:val="single"/>
              </w:rPr>
            </w:pPr>
            <w:r w:rsidRPr="00EF6233">
              <w:rPr>
                <w:rFonts w:eastAsia="SimSun" w:cs="+mn-cs"/>
                <w:color w:val="000000"/>
                <w:kern w:val="24"/>
                <w:sz w:val="16"/>
                <w:szCs w:val="16"/>
                <w:u w:val="single"/>
              </w:rPr>
              <w:t>38.213 V17.0.0</w:t>
            </w:r>
          </w:p>
          <w:p w14:paraId="4C8A296A" w14:textId="77777777" w:rsidR="00EF6233" w:rsidRPr="00EF6233" w:rsidRDefault="00EF6233" w:rsidP="00EF6233">
            <w:pPr>
              <w:spacing w:after="0"/>
              <w:rPr>
                <w:rFonts w:eastAsia="SimSun" w:cs="+mn-cs"/>
                <w:color w:val="000000"/>
                <w:kern w:val="24"/>
                <w:sz w:val="16"/>
                <w:szCs w:val="16"/>
              </w:rPr>
            </w:pPr>
          </w:p>
          <w:p w14:paraId="5503003B" w14:textId="77777777" w:rsidR="00EF6233" w:rsidRPr="00EF6233" w:rsidRDefault="00EF6233" w:rsidP="00EF6233">
            <w:pPr>
              <w:spacing w:after="0"/>
              <w:rPr>
                <w:rFonts w:ascii="ＭＳ Ｐゴシック" w:eastAsia="ＭＳ Ｐゴシック" w:hAnsi="ＭＳ Ｐゴシック" w:cs="ＭＳ Ｐゴシック"/>
                <w:szCs w:val="24"/>
                <w:lang w:val="en-US"/>
              </w:rPr>
            </w:pPr>
            <w:r w:rsidRPr="00EF6233">
              <w:rPr>
                <w:rFonts w:ascii="Calibri" w:eastAsia="メイリオ" w:hAnsi="Calibri" w:cs="+mn-cs"/>
                <w:b/>
                <w:bCs/>
                <w:color w:val="000000"/>
                <w:kern w:val="24"/>
                <w:sz w:val="16"/>
                <w:szCs w:val="16"/>
              </w:rPr>
              <w:t>9.1.3</w:t>
            </w:r>
            <w:r w:rsidRPr="00EF6233">
              <w:rPr>
                <w:rFonts w:ascii="Calibri" w:eastAsia="メイリオ" w:hAnsi="Calibri" w:cs="+mn-cs"/>
                <w:b/>
                <w:bCs/>
                <w:color w:val="000000"/>
                <w:kern w:val="24"/>
                <w:sz w:val="16"/>
                <w:szCs w:val="16"/>
              </w:rPr>
              <w:tab/>
              <w:t xml:space="preserve">Type-2 HARQ-ACK codebook determination </w:t>
            </w:r>
          </w:p>
          <w:p w14:paraId="6F2CB025" w14:textId="77777777" w:rsidR="00EF6233" w:rsidRPr="00EF6233" w:rsidRDefault="00EF6233" w:rsidP="00EF6233">
            <w:pPr>
              <w:spacing w:after="0"/>
              <w:rPr>
                <w:rFonts w:ascii="ＭＳ Ｐゴシック" w:eastAsia="ＭＳ Ｐゴシック" w:hAnsi="ＭＳ Ｐゴシック" w:cs="ＭＳ Ｐゴシック"/>
                <w:szCs w:val="24"/>
                <w:lang w:val="en-US"/>
              </w:rPr>
            </w:pPr>
            <w:r w:rsidRPr="00EF6233">
              <w:rPr>
                <w:rFonts w:eastAsia="SimSun" w:cs="+mn-cs"/>
                <w:color w:val="000000"/>
                <w:kern w:val="24"/>
                <w:sz w:val="16"/>
                <w:szCs w:val="16"/>
              </w:rPr>
              <w:t>...</w:t>
            </w:r>
          </w:p>
          <w:p w14:paraId="206E7E0B" w14:textId="77777777" w:rsidR="00EF6233" w:rsidRPr="00EF6233" w:rsidRDefault="00EF6233" w:rsidP="00EF6233">
            <w:pPr>
              <w:spacing w:after="0"/>
              <w:rPr>
                <w:rFonts w:ascii="ＭＳ Ｐゴシック" w:eastAsia="ＭＳ Ｐゴシック" w:hAnsi="ＭＳ Ｐゴシック" w:cs="ＭＳ Ｐゴシック"/>
                <w:szCs w:val="24"/>
                <w:lang w:val="en-US"/>
              </w:rPr>
            </w:pPr>
            <w:r w:rsidRPr="00EF6233">
              <w:rPr>
                <w:rFonts w:eastAsia="SimSun" w:cs="+mn-cs"/>
                <w:color w:val="000000"/>
                <w:kern w:val="24"/>
                <w:sz w:val="16"/>
                <w:szCs w:val="16"/>
              </w:rPr>
              <w:t xml:space="preserve">If a UE is provided </w:t>
            </w:r>
            <w:r w:rsidRPr="00EF6233">
              <w:rPr>
                <w:rFonts w:eastAsia="SimSun" w:cs="+mn-cs"/>
                <w:i/>
                <w:iCs/>
                <w:color w:val="000000"/>
                <w:kern w:val="24"/>
                <w:sz w:val="16"/>
                <w:szCs w:val="16"/>
              </w:rPr>
              <w:t>HARQ-feedbackEnabling-disablingperHARQprocess</w:t>
            </w:r>
            <w:r w:rsidRPr="00EF6233">
              <w:rPr>
                <w:rFonts w:eastAsia="SimSun" w:cs="+mn-cs"/>
                <w:color w:val="000000"/>
                <w:kern w:val="24"/>
                <w:sz w:val="16"/>
                <w:szCs w:val="16"/>
              </w:rPr>
              <w:t xml:space="preserve"> indicating disabled HARQ-ACK information for a HARQ process associated with a transport block in </w:t>
            </w:r>
            <w:r w:rsidRPr="00EF6233">
              <w:rPr>
                <w:rFonts w:eastAsia="SimSun" w:cs="+mn-cs"/>
                <w:color w:val="000000"/>
                <w:kern w:val="24"/>
                <w:sz w:val="16"/>
                <w:szCs w:val="16"/>
                <w:lang w:val="en-US"/>
              </w:rPr>
              <w:t>PDSCH reception</w:t>
            </w:r>
            <w:r w:rsidRPr="00EF6233">
              <w:rPr>
                <w:rFonts w:eastAsia="SimSun" w:cs="+mn-cs"/>
                <w:color w:val="000000"/>
                <w:kern w:val="24"/>
                <w:sz w:val="16"/>
                <w:szCs w:val="16"/>
              </w:rPr>
              <w:t xml:space="preserve"> occasion </w:t>
            </w:r>
            <m:oMath>
              <m:r>
                <w:rPr>
                  <w:rFonts w:ascii="Cambria Math" w:eastAsia="SimSun" w:hAnsi="Cambria Math" w:cs="+mn-cs"/>
                  <w:color w:val="000000"/>
                  <w:kern w:val="24"/>
                  <w:sz w:val="16"/>
                  <w:szCs w:val="16"/>
                  <w:lang w:val="en-US"/>
                </w:rPr>
                <m:t>m</m:t>
              </m:r>
            </m:oMath>
            <w:r w:rsidRPr="00EF6233">
              <w:rPr>
                <w:rFonts w:eastAsia="SimSun" w:cs="+mn-cs"/>
                <w:color w:val="000000"/>
                <w:kern w:val="24"/>
                <w:sz w:val="16"/>
                <w:szCs w:val="16"/>
                <w:lang w:val="en-US"/>
              </w:rPr>
              <w:t xml:space="preserve"> on serving cell </w:t>
            </w:r>
            <m:oMath>
              <m:r>
                <w:rPr>
                  <w:rFonts w:ascii="Cambria Math" w:eastAsia="SimSun" w:hAnsi="Cambria Math" w:cs="+mn-cs"/>
                  <w:color w:val="000000"/>
                  <w:kern w:val="24"/>
                  <w:sz w:val="16"/>
                  <w:szCs w:val="16"/>
                  <w:lang w:val="en-US"/>
                </w:rPr>
                <m:t>c</m:t>
              </m:r>
            </m:oMath>
            <w:r w:rsidRPr="00EF6233">
              <w:rPr>
                <w:rFonts w:eastAsia="SimSun" w:cs="+mn-cs"/>
                <w:color w:val="000000"/>
                <w:kern w:val="24"/>
                <w:sz w:val="16"/>
                <w:szCs w:val="16"/>
              </w:rPr>
              <w:t xml:space="preserve">, the UE does not multiplex a HARQ-ACK information bit corresponding to the transport block in a Type-2 HARQ-ACK codebook </w:t>
            </w:r>
            <w:r w:rsidRPr="00EF6233">
              <w:rPr>
                <w:rFonts w:eastAsia="SimSun" w:cs="+mn-cs"/>
                <w:color w:val="FF0000"/>
                <w:kern w:val="24"/>
                <w:sz w:val="16"/>
                <w:szCs w:val="16"/>
              </w:rPr>
              <w:t xml:space="preserve">and does not consider the transport block as received in the determination of </w:t>
            </w:r>
            <m:oMath>
              <m:sSubSup>
                <m:sSubSupPr>
                  <m:ctrlPr>
                    <w:rPr>
                      <w:rFonts w:ascii="Cambria Math" w:eastAsia="SimSun" w:hAnsi="Cambria Math" w:cs="+mn-cs"/>
                      <w:i/>
                      <w:iCs/>
                      <w:color w:val="FF0000"/>
                      <w:kern w:val="24"/>
                      <w:sz w:val="16"/>
                      <w:szCs w:val="16"/>
                      <w:lang w:val="en-US"/>
                    </w:rPr>
                  </m:ctrlPr>
                </m:sSubSupPr>
                <m:e>
                  <m:r>
                    <w:rPr>
                      <w:rFonts w:ascii="Cambria Math" w:eastAsia="SimSun" w:hAnsi="Cambria Math" w:cs="+mn-cs"/>
                      <w:color w:val="FF0000"/>
                      <w:kern w:val="24"/>
                      <w:sz w:val="16"/>
                      <w:szCs w:val="16"/>
                    </w:rPr>
                    <m:t>N</m:t>
                  </m:r>
                </m:e>
                <m:sub>
                  <m:r>
                    <w:rPr>
                      <w:rFonts w:ascii="Cambria Math" w:eastAsia="SimSun" w:hAnsi="Cambria Math" w:cs="+mn-cs"/>
                      <w:color w:val="FF0000"/>
                      <w:kern w:val="24"/>
                      <w:sz w:val="16"/>
                      <w:szCs w:val="16"/>
                    </w:rPr>
                    <m:t>m,c</m:t>
                  </m:r>
                </m:sub>
                <m:sup>
                  <m:r>
                    <m:rPr>
                      <m:sty m:val="p"/>
                    </m:rPr>
                    <w:rPr>
                      <w:rFonts w:ascii="Cambria Math" w:eastAsia="SimSun" w:hAnsi="Cambria Math" w:cs="+mn-cs"/>
                      <w:color w:val="FF0000"/>
                      <w:kern w:val="24"/>
                      <w:sz w:val="16"/>
                      <w:szCs w:val="16"/>
                    </w:rPr>
                    <m:t>received</m:t>
                  </m:r>
                </m:sup>
              </m:sSubSup>
            </m:oMath>
            <w:r w:rsidRPr="00EF6233">
              <w:rPr>
                <w:rFonts w:eastAsia="SimSun" w:cs="+mn-cs"/>
                <w:color w:val="FF0000"/>
                <w:kern w:val="24"/>
                <w:sz w:val="16"/>
                <w:szCs w:val="16"/>
              </w:rPr>
              <w:t xml:space="preserve"> or of </w:t>
            </w:r>
            <m:oMath>
              <m:sSub>
                <m:sSubPr>
                  <m:ctrlPr>
                    <w:rPr>
                      <w:rFonts w:ascii="Cambria Math" w:eastAsia="SimSun" w:hAnsi="Cambria Math" w:cs="+mn-cs"/>
                      <w:i/>
                      <w:iCs/>
                      <w:color w:val="FF0000"/>
                      <w:kern w:val="24"/>
                      <w:sz w:val="16"/>
                      <w:szCs w:val="16"/>
                      <w:lang w:val="en-US"/>
                    </w:rPr>
                  </m:ctrlPr>
                </m:sSubPr>
                <m:e>
                  <m:r>
                    <w:rPr>
                      <w:rFonts w:ascii="Cambria Math" w:eastAsia="SimSun" w:hAnsi="Cambria Math" w:cs="+mn-cs"/>
                      <w:color w:val="FF0000"/>
                      <w:kern w:val="24"/>
                      <w:sz w:val="16"/>
                      <w:szCs w:val="16"/>
                    </w:rPr>
                    <m:t>N</m:t>
                  </m:r>
                </m:e>
                <m:sub>
                  <m:r>
                    <m:rPr>
                      <m:nor/>
                    </m:rPr>
                    <w:rPr>
                      <w:rFonts w:ascii="Cambria Math" w:eastAsia="SimSun" w:hAnsi="Cambria Math" w:cs="+mn-cs"/>
                      <w:color w:val="FF0000"/>
                      <w:kern w:val="24"/>
                      <w:sz w:val="16"/>
                      <w:szCs w:val="16"/>
                      <w:lang w:val="en-US"/>
                    </w:rPr>
                    <m:t>SPS,</m:t>
                  </m:r>
                  <m:r>
                    <m:rPr>
                      <m:nor/>
                    </m:rPr>
                    <w:rPr>
                      <w:rFonts w:ascii="Cambria Math" w:eastAsia="SimSun" w:hAnsi="Cambria Math" w:cs="+mn-cs"/>
                      <w:i/>
                      <w:iCs/>
                      <w:color w:val="FF0000"/>
                      <w:kern w:val="24"/>
                      <w:sz w:val="16"/>
                      <w:szCs w:val="16"/>
                      <w:lang w:val="en-US"/>
                    </w:rPr>
                    <m:t>c</m:t>
                  </m:r>
                </m:sub>
              </m:sSub>
            </m:oMath>
            <w:r w:rsidRPr="00EF6233">
              <w:rPr>
                <w:rFonts w:eastAsia="SimSun" w:cs="+mn-cs"/>
                <w:color w:val="FF0000"/>
                <w:kern w:val="24"/>
                <w:sz w:val="16"/>
                <w:szCs w:val="16"/>
              </w:rPr>
              <w:t xml:space="preserve"> in clause 9.1.3.1.</w:t>
            </w:r>
            <w:r w:rsidRPr="00EF6233">
              <w:rPr>
                <w:rFonts w:eastAsia="SimSun" w:cs="+mn-cs"/>
                <w:color w:val="000000"/>
                <w:kern w:val="24"/>
                <w:sz w:val="16"/>
                <w:szCs w:val="16"/>
              </w:rPr>
              <w:t xml:space="preserve"> If the UE is also provided </w:t>
            </w:r>
            <w:r w:rsidRPr="00EF6233">
              <w:rPr>
                <w:rFonts w:eastAsia="SimSun" w:cs="+mn-cs"/>
                <w:i/>
                <w:iCs/>
                <w:color w:val="000000"/>
                <w:kern w:val="24"/>
                <w:sz w:val="16"/>
                <w:szCs w:val="16"/>
              </w:rPr>
              <w:t>PDSCH-CodeBlockGroupTransmission</w:t>
            </w:r>
            <w:r w:rsidRPr="00EF6233">
              <w:rPr>
                <w:rFonts w:eastAsia="SimSun" w:cs="+mn-cs"/>
                <w:color w:val="000000"/>
                <w:kern w:val="24"/>
                <w:sz w:val="16"/>
                <w:szCs w:val="16"/>
              </w:rPr>
              <w:t xml:space="preserve">, the UE does not multiplex HARQ-ACK information bits corresponding to CBGs of the transport block in the Type-2 HARQ-ACK codebook and </w:t>
            </w:r>
            <w:r w:rsidRPr="00EF6233">
              <w:rPr>
                <w:rFonts w:eastAsia="SimSun" w:cs="+mn-cs"/>
                <w:color w:val="FF0000"/>
                <w:kern w:val="24"/>
                <w:sz w:val="16"/>
                <w:szCs w:val="16"/>
              </w:rPr>
              <w:t xml:space="preserve">does not consider the CBGs as received in the determination of </w:t>
            </w:r>
            <m:oMath>
              <m:sSubSup>
                <m:sSubSupPr>
                  <m:ctrlPr>
                    <w:rPr>
                      <w:rFonts w:ascii="Cambria Math" w:eastAsia="SimSun" w:hAnsi="Cambria Math" w:cs="+mn-cs"/>
                      <w:i/>
                      <w:iCs/>
                      <w:color w:val="FF0000"/>
                      <w:kern w:val="24"/>
                      <w:sz w:val="16"/>
                      <w:szCs w:val="16"/>
                      <w:lang w:val="en-US"/>
                    </w:rPr>
                  </m:ctrlPr>
                </m:sSubSupPr>
                <m:e>
                  <m:r>
                    <w:rPr>
                      <w:rFonts w:ascii="Cambria Math" w:eastAsia="SimSun" w:hAnsi="Cambria Math" w:cs="+mn-cs"/>
                      <w:color w:val="FF0000"/>
                      <w:kern w:val="24"/>
                      <w:sz w:val="16"/>
                      <w:szCs w:val="16"/>
                    </w:rPr>
                    <m:t>N</m:t>
                  </m:r>
                </m:e>
                <m:sub>
                  <m:r>
                    <w:rPr>
                      <w:rFonts w:ascii="Cambria Math" w:eastAsia="SimSun" w:hAnsi="Cambria Math" w:cs="+mn-cs"/>
                      <w:color w:val="FF0000"/>
                      <w:kern w:val="24"/>
                      <w:sz w:val="16"/>
                      <w:szCs w:val="16"/>
                    </w:rPr>
                    <m:t>m,c</m:t>
                  </m:r>
                </m:sub>
                <m:sup>
                  <m:r>
                    <m:rPr>
                      <m:sty m:val="p"/>
                    </m:rPr>
                    <w:rPr>
                      <w:rFonts w:ascii="Cambria Math" w:eastAsia="SimSun" w:hAnsi="Cambria Math" w:cs="+mn-cs"/>
                      <w:color w:val="FF0000"/>
                      <w:kern w:val="24"/>
                      <w:sz w:val="16"/>
                      <w:szCs w:val="16"/>
                    </w:rPr>
                    <m:t>received,CBG</m:t>
                  </m:r>
                </m:sup>
              </m:sSubSup>
            </m:oMath>
            <w:r w:rsidRPr="00EF6233">
              <w:rPr>
                <w:rFonts w:eastAsia="SimSun" w:cs="+mn-cs"/>
                <w:color w:val="FF0000"/>
                <w:kern w:val="24"/>
                <w:sz w:val="16"/>
                <w:szCs w:val="16"/>
              </w:rPr>
              <w:t xml:space="preserve"> in clause 9.1.3.1.</w:t>
            </w:r>
            <w:r w:rsidRPr="00EF6233">
              <w:rPr>
                <w:rFonts w:eastAsia="SimSun" w:cs="+mn-cs"/>
                <w:color w:val="000000"/>
                <w:kern w:val="24"/>
                <w:sz w:val="16"/>
                <w:szCs w:val="16"/>
              </w:rPr>
              <w:t xml:space="preserve"> If the UE is also provided </w:t>
            </w:r>
            <w:r w:rsidRPr="00EF6233">
              <w:rPr>
                <w:rFonts w:eastAsia="SimSun" w:cs="+mn-cs"/>
                <w:i/>
                <w:iCs/>
                <w:color w:val="000000"/>
                <w:kern w:val="24"/>
                <w:sz w:val="16"/>
                <w:szCs w:val="16"/>
              </w:rPr>
              <w:t>HARQ-feedbackEnablingforSPSactive</w:t>
            </w:r>
            <w:r w:rsidRPr="00EF6233">
              <w:rPr>
                <w:rFonts w:eastAsia="SimSun" w:cs="+mn-cs"/>
                <w:color w:val="000000"/>
                <w:kern w:val="24"/>
                <w:sz w:val="16"/>
                <w:szCs w:val="16"/>
              </w:rPr>
              <w:t xml:space="preserve">, the UE considers a HARQ process associated with a transport block in a first SPS </w:t>
            </w:r>
            <w:r w:rsidRPr="00EF6233">
              <w:rPr>
                <w:rFonts w:eastAsia="SimSun" w:cs="+mn-cs"/>
                <w:color w:val="000000"/>
                <w:kern w:val="24"/>
                <w:sz w:val="16"/>
                <w:szCs w:val="16"/>
                <w:lang w:val="en-US"/>
              </w:rPr>
              <w:t>PDSCH reception, after an activation of SPS PDSCH receptions,</w:t>
            </w:r>
            <w:r w:rsidRPr="00EF6233">
              <w:rPr>
                <w:rFonts w:eastAsia="SimSun" w:cs="+mn-cs"/>
                <w:color w:val="000000"/>
                <w:kern w:val="24"/>
                <w:sz w:val="16"/>
                <w:szCs w:val="16"/>
              </w:rPr>
              <w:t xml:space="preserve"> to have enabled HARQ-ACK information and the UE provides a HARQ-ACK information bit according to a decoding outcome for the transport block in the first SPS </w:t>
            </w:r>
            <w:r w:rsidRPr="00EF6233">
              <w:rPr>
                <w:rFonts w:eastAsia="SimSun" w:cs="+mn-cs"/>
                <w:color w:val="000000"/>
                <w:kern w:val="24"/>
                <w:sz w:val="16"/>
                <w:szCs w:val="16"/>
                <w:lang w:val="en-US"/>
              </w:rPr>
              <w:t>PDSCH reception</w:t>
            </w:r>
            <w:r w:rsidRPr="00EF6233">
              <w:rPr>
                <w:rFonts w:eastAsia="SimSun" w:cs="+mn-cs"/>
                <w:color w:val="000000"/>
                <w:kern w:val="24"/>
                <w:sz w:val="16"/>
                <w:szCs w:val="16"/>
              </w:rPr>
              <w:t>.</w:t>
            </w:r>
          </w:p>
          <w:p w14:paraId="49C31EBC" w14:textId="77777777" w:rsidR="00EF6233" w:rsidRPr="00EF6233" w:rsidRDefault="00EF6233" w:rsidP="00EF6233">
            <w:pPr>
              <w:spacing w:after="0"/>
              <w:rPr>
                <w:rFonts w:ascii="ＭＳ Ｐゴシック" w:eastAsia="ＭＳ Ｐゴシック" w:hAnsi="ＭＳ Ｐゴシック" w:cs="ＭＳ Ｐゴシック"/>
                <w:szCs w:val="24"/>
                <w:lang w:val="en-US"/>
              </w:rPr>
            </w:pPr>
            <w:r w:rsidRPr="00EF6233">
              <w:rPr>
                <w:rFonts w:eastAsia="SimSun" w:cs="+mn-cs"/>
                <w:color w:val="000000"/>
                <w:kern w:val="24"/>
                <w:sz w:val="16"/>
                <w:szCs w:val="16"/>
              </w:rPr>
              <w:t>...</w:t>
            </w:r>
          </w:p>
        </w:tc>
      </w:tr>
    </w:tbl>
    <w:p w14:paraId="16FDA70B" w14:textId="5938B22A" w:rsidR="00EF6233" w:rsidRDefault="00EF6233" w:rsidP="007B7225">
      <w:pPr>
        <w:spacing w:beforeLines="50" w:before="120" w:afterLines="50" w:after="120"/>
        <w:jc w:val="both"/>
        <w:rPr>
          <w:rFonts w:eastAsiaTheme="minorEastAsia"/>
          <w:iCs/>
          <w:sz w:val="22"/>
          <w:lang w:val="en-US"/>
        </w:rPr>
      </w:pPr>
      <w:r>
        <w:rPr>
          <w:rFonts w:eastAsiaTheme="minorEastAsia" w:hint="eastAsia"/>
          <w:iCs/>
          <w:sz w:val="22"/>
          <w:lang w:val="en-US"/>
        </w:rPr>
        <w:t>A</w:t>
      </w:r>
      <w:r>
        <w:rPr>
          <w:rFonts w:eastAsiaTheme="minorEastAsia"/>
          <w:iCs/>
          <w:sz w:val="22"/>
          <w:lang w:val="en-US"/>
        </w:rPr>
        <w:t xml:space="preserve">t the last meeting, for feedback-disabled HARQ process, interpretations of DCI fields related to HARQ feedback are agreed except for DAI field. </w:t>
      </w:r>
      <w:r w:rsidR="00FB7E98">
        <w:rPr>
          <w:rFonts w:eastAsiaTheme="minorEastAsia"/>
          <w:iCs/>
          <w:sz w:val="22"/>
          <w:lang w:val="en-US"/>
        </w:rPr>
        <w:t>Regarding DAI field, we prefer to use the DAI field to detect the last DCI misdetection. However, companies’ views are not converged so far, then it is questionable that RAN1 can have agreement of such a mechanism in maintenance phase.</w:t>
      </w:r>
      <w:r w:rsidR="006B2E48">
        <w:rPr>
          <w:rFonts w:eastAsiaTheme="minorEastAsia"/>
          <w:iCs/>
          <w:sz w:val="22"/>
          <w:lang w:val="en-US"/>
        </w:rPr>
        <w:t xml:space="preserve"> If the situation is not changed, the possible outcome would be only that DAI in DCI with feedback-disabled HARQ process is ignored.</w:t>
      </w:r>
    </w:p>
    <w:p w14:paraId="3257A245" w14:textId="370BB977" w:rsidR="006B2E48" w:rsidRDefault="006B2E48" w:rsidP="007B7225">
      <w:pPr>
        <w:spacing w:beforeLines="50" w:before="120" w:afterLines="50" w:after="120"/>
        <w:jc w:val="both"/>
        <w:rPr>
          <w:rFonts w:eastAsiaTheme="minorEastAsia"/>
          <w:iCs/>
          <w:sz w:val="22"/>
          <w:lang w:val="en-US"/>
        </w:rPr>
      </w:pPr>
      <w:r>
        <w:rPr>
          <w:rFonts w:eastAsiaTheme="minorEastAsia"/>
          <w:iCs/>
          <w:sz w:val="22"/>
          <w:lang w:val="en-US"/>
        </w:rPr>
        <w:t>Then even in this case, we believe that an appropriate spec update is necessary. It seems that the latest specification has a text corresponding to a direction of ignoring TB scheduled by DCI with feedback-disabled HARQ process, for purpose of type 2 HARQ-ACK CB construction.</w:t>
      </w:r>
      <w:r w:rsidR="007D74D6">
        <w:rPr>
          <w:rFonts w:eastAsiaTheme="minorEastAsia"/>
          <w:iCs/>
          <w:sz w:val="22"/>
          <w:lang w:val="en-US"/>
        </w:rPr>
        <w:t xml:space="preserve"> We guess that the text is intended to ignore the corresponding DAI as well as the TB.</w:t>
      </w:r>
      <w:r>
        <w:rPr>
          <w:rFonts w:eastAsiaTheme="minorEastAsia"/>
          <w:iCs/>
          <w:sz w:val="22"/>
          <w:lang w:val="en-US"/>
        </w:rPr>
        <w:t xml:space="preserve"> However, </w:t>
      </w:r>
      <w:r w:rsidRPr="00FB7E98">
        <w:rPr>
          <w:rFonts w:eastAsiaTheme="minorEastAsia"/>
          <w:iCs/>
          <w:sz w:val="22"/>
        </w:rPr>
        <w:t xml:space="preserve">the current spec text </w:t>
      </w:r>
      <w:r>
        <w:rPr>
          <w:rFonts w:eastAsiaTheme="minorEastAsia"/>
          <w:iCs/>
          <w:sz w:val="22"/>
        </w:rPr>
        <w:t xml:space="preserve">still </w:t>
      </w:r>
      <w:r w:rsidRPr="00FB7E98">
        <w:rPr>
          <w:rFonts w:eastAsiaTheme="minorEastAsia"/>
          <w:iCs/>
          <w:sz w:val="22"/>
        </w:rPr>
        <w:t>has an ambiguity on whether DCI, i.e. DAI, corresponding to the transport block is considered or not</w:t>
      </w:r>
      <w:r>
        <w:rPr>
          <w:rFonts w:eastAsiaTheme="minorEastAsia"/>
          <w:iCs/>
          <w:sz w:val="22"/>
        </w:rPr>
        <w:t>.</w:t>
      </w:r>
      <w:r w:rsidR="006604B9">
        <w:rPr>
          <w:rFonts w:eastAsiaTheme="minorEastAsia"/>
          <w:iCs/>
          <w:sz w:val="22"/>
        </w:rPr>
        <w:t xml:space="preserve"> Therefore, we propose the following text update.</w:t>
      </w:r>
    </w:p>
    <w:p w14:paraId="7DD752ED" w14:textId="360E676D" w:rsidR="0000204E" w:rsidRPr="00A077A0" w:rsidRDefault="0000204E" w:rsidP="0000204E">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sidR="00062A92">
        <w:rPr>
          <w:rFonts w:eastAsiaTheme="minorEastAsia"/>
          <w:b/>
          <w:sz w:val="22"/>
          <w:u w:val="single"/>
          <w:lang w:val="en-US"/>
        </w:rPr>
        <w:t>4</w:t>
      </w:r>
      <w:r w:rsidRPr="00A077A0">
        <w:rPr>
          <w:rFonts w:eastAsiaTheme="minorEastAsia"/>
          <w:b/>
          <w:sz w:val="22"/>
          <w:u w:val="single"/>
          <w:lang w:val="en-US"/>
        </w:rPr>
        <w:t>:</w:t>
      </w:r>
    </w:p>
    <w:p w14:paraId="48954263" w14:textId="339F5359" w:rsidR="0000204E" w:rsidRDefault="007D74D6" w:rsidP="0000204E">
      <w:pPr>
        <w:numPr>
          <w:ilvl w:val="0"/>
          <w:numId w:val="18"/>
        </w:numPr>
        <w:spacing w:before="50" w:afterLines="50" w:after="120"/>
        <w:jc w:val="both"/>
        <w:rPr>
          <w:rFonts w:eastAsiaTheme="minorEastAsia"/>
          <w:i/>
          <w:sz w:val="22"/>
          <w:lang w:val="en-US"/>
        </w:rPr>
      </w:pPr>
      <w:r w:rsidRPr="007D74D6">
        <w:rPr>
          <w:rFonts w:eastAsiaTheme="minorEastAsia"/>
          <w:i/>
          <w:sz w:val="22"/>
        </w:rPr>
        <w:t>Confirm that DAI in a DCI with disabled feedback is ignored, and apply the following TP</w:t>
      </w:r>
      <w:r>
        <w:rPr>
          <w:rFonts w:eastAsiaTheme="minorEastAsia"/>
          <w:i/>
          <w:sz w:val="22"/>
        </w:rPr>
        <w:t>.</w:t>
      </w:r>
    </w:p>
    <w:tbl>
      <w:tblPr>
        <w:tblStyle w:val="afc"/>
        <w:tblW w:w="0" w:type="auto"/>
        <w:tblLook w:val="04A0" w:firstRow="1" w:lastRow="0" w:firstColumn="1" w:lastColumn="0" w:noHBand="0" w:noVBand="1"/>
      </w:tblPr>
      <w:tblGrid>
        <w:gridCol w:w="9962"/>
      </w:tblGrid>
      <w:tr w:rsidR="007D74D6" w:rsidRPr="00284247" w14:paraId="241C7C3A" w14:textId="77777777" w:rsidTr="00513CEB">
        <w:tc>
          <w:tcPr>
            <w:tcW w:w="9962" w:type="dxa"/>
          </w:tcPr>
          <w:p w14:paraId="6C90F7D1" w14:textId="77777777" w:rsidR="007D74D6" w:rsidRPr="00EF6233" w:rsidRDefault="007D74D6" w:rsidP="00513CEB">
            <w:pPr>
              <w:spacing w:after="0"/>
              <w:rPr>
                <w:rFonts w:eastAsia="SimSun" w:cs="+mn-cs"/>
                <w:color w:val="000000"/>
                <w:kern w:val="24"/>
                <w:sz w:val="16"/>
                <w:szCs w:val="16"/>
                <w:u w:val="single"/>
              </w:rPr>
            </w:pPr>
            <w:r w:rsidRPr="00EF6233">
              <w:rPr>
                <w:rFonts w:eastAsia="SimSun" w:cs="+mn-cs"/>
                <w:color w:val="000000"/>
                <w:kern w:val="24"/>
                <w:sz w:val="16"/>
                <w:szCs w:val="16"/>
                <w:u w:val="single"/>
              </w:rPr>
              <w:t>38.213 V17.0.0</w:t>
            </w:r>
          </w:p>
          <w:p w14:paraId="107FFE98" w14:textId="77777777" w:rsidR="007D74D6" w:rsidRPr="00EF6233" w:rsidRDefault="007D74D6" w:rsidP="00513CEB">
            <w:pPr>
              <w:spacing w:after="0"/>
              <w:rPr>
                <w:rFonts w:eastAsia="SimSun" w:cs="+mn-cs"/>
                <w:color w:val="000000"/>
                <w:kern w:val="24"/>
                <w:sz w:val="16"/>
                <w:szCs w:val="16"/>
              </w:rPr>
            </w:pPr>
          </w:p>
          <w:p w14:paraId="1956D5D4" w14:textId="77777777" w:rsidR="007D74D6" w:rsidRPr="00EF6233" w:rsidRDefault="007D74D6" w:rsidP="00513CEB">
            <w:pPr>
              <w:spacing w:after="0"/>
              <w:rPr>
                <w:rFonts w:ascii="ＭＳ Ｐゴシック" w:eastAsia="ＭＳ Ｐゴシック" w:hAnsi="ＭＳ Ｐゴシック" w:cs="ＭＳ Ｐゴシック"/>
                <w:szCs w:val="24"/>
                <w:lang w:val="en-US"/>
              </w:rPr>
            </w:pPr>
            <w:r w:rsidRPr="00EF6233">
              <w:rPr>
                <w:rFonts w:ascii="Calibri" w:eastAsia="メイリオ" w:hAnsi="Calibri" w:cs="+mn-cs"/>
                <w:b/>
                <w:bCs/>
                <w:color w:val="000000"/>
                <w:kern w:val="24"/>
                <w:sz w:val="16"/>
                <w:szCs w:val="16"/>
              </w:rPr>
              <w:t>9.1.3</w:t>
            </w:r>
            <w:r w:rsidRPr="00EF6233">
              <w:rPr>
                <w:rFonts w:ascii="Calibri" w:eastAsia="メイリオ" w:hAnsi="Calibri" w:cs="+mn-cs"/>
                <w:b/>
                <w:bCs/>
                <w:color w:val="000000"/>
                <w:kern w:val="24"/>
                <w:sz w:val="16"/>
                <w:szCs w:val="16"/>
              </w:rPr>
              <w:tab/>
              <w:t xml:space="preserve">Type-2 HARQ-ACK codebook determination </w:t>
            </w:r>
          </w:p>
          <w:p w14:paraId="3355D9DE" w14:textId="77777777" w:rsidR="007D74D6" w:rsidRPr="00EF6233" w:rsidRDefault="007D74D6" w:rsidP="00513CEB">
            <w:pPr>
              <w:spacing w:after="0"/>
              <w:rPr>
                <w:rFonts w:ascii="ＭＳ Ｐゴシック" w:eastAsia="ＭＳ Ｐゴシック" w:hAnsi="ＭＳ Ｐゴシック" w:cs="ＭＳ Ｐゴシック"/>
                <w:szCs w:val="24"/>
                <w:lang w:val="en-US"/>
              </w:rPr>
            </w:pPr>
            <w:r w:rsidRPr="00EF6233">
              <w:rPr>
                <w:rFonts w:eastAsia="SimSun" w:cs="+mn-cs"/>
                <w:color w:val="000000"/>
                <w:kern w:val="24"/>
                <w:sz w:val="16"/>
                <w:szCs w:val="16"/>
              </w:rPr>
              <w:t>...</w:t>
            </w:r>
          </w:p>
          <w:p w14:paraId="7F93E7CC" w14:textId="6D82ABEB" w:rsidR="007D74D6" w:rsidRPr="00EF6233" w:rsidRDefault="007D74D6" w:rsidP="00513CEB">
            <w:pPr>
              <w:spacing w:after="0"/>
              <w:rPr>
                <w:rFonts w:ascii="ＭＳ Ｐゴシック" w:eastAsia="ＭＳ Ｐゴシック" w:hAnsi="ＭＳ Ｐゴシック" w:cs="ＭＳ Ｐゴシック"/>
                <w:szCs w:val="24"/>
                <w:lang w:val="en-US"/>
              </w:rPr>
            </w:pPr>
            <w:r w:rsidRPr="00EF6233">
              <w:rPr>
                <w:rFonts w:eastAsia="SimSun" w:cs="+mn-cs"/>
                <w:color w:val="000000"/>
                <w:kern w:val="24"/>
                <w:sz w:val="16"/>
                <w:szCs w:val="16"/>
              </w:rPr>
              <w:t xml:space="preserve">If a UE is provided </w:t>
            </w:r>
            <w:r w:rsidRPr="00EF6233">
              <w:rPr>
                <w:rFonts w:eastAsia="SimSun" w:cs="+mn-cs"/>
                <w:i/>
                <w:iCs/>
                <w:color w:val="000000"/>
                <w:kern w:val="24"/>
                <w:sz w:val="16"/>
                <w:szCs w:val="16"/>
              </w:rPr>
              <w:t>HARQ-feedbackEnabling-disablingperHARQprocess</w:t>
            </w:r>
            <w:r w:rsidRPr="00EF6233">
              <w:rPr>
                <w:rFonts w:eastAsia="SimSun" w:cs="+mn-cs"/>
                <w:color w:val="000000"/>
                <w:kern w:val="24"/>
                <w:sz w:val="16"/>
                <w:szCs w:val="16"/>
              </w:rPr>
              <w:t xml:space="preserve"> indicating disabled HARQ-ACK information for a HARQ process associated with a transport block in </w:t>
            </w:r>
            <w:r w:rsidRPr="00EF6233">
              <w:rPr>
                <w:rFonts w:eastAsia="SimSun" w:cs="+mn-cs"/>
                <w:color w:val="000000"/>
                <w:kern w:val="24"/>
                <w:sz w:val="16"/>
                <w:szCs w:val="16"/>
                <w:lang w:val="en-US"/>
              </w:rPr>
              <w:t>PDSCH reception</w:t>
            </w:r>
            <w:r w:rsidRPr="00EF6233">
              <w:rPr>
                <w:rFonts w:eastAsia="SimSun" w:cs="+mn-cs"/>
                <w:color w:val="000000"/>
                <w:kern w:val="24"/>
                <w:sz w:val="16"/>
                <w:szCs w:val="16"/>
              </w:rPr>
              <w:t xml:space="preserve"> occasion </w:t>
            </w:r>
            <m:oMath>
              <m:r>
                <w:rPr>
                  <w:rFonts w:ascii="Cambria Math" w:eastAsia="SimSun" w:hAnsi="Cambria Math" w:cs="+mn-cs"/>
                  <w:color w:val="000000"/>
                  <w:kern w:val="24"/>
                  <w:sz w:val="16"/>
                  <w:szCs w:val="16"/>
                  <w:lang w:val="en-US"/>
                </w:rPr>
                <m:t>m</m:t>
              </m:r>
            </m:oMath>
            <w:r w:rsidRPr="00EF6233">
              <w:rPr>
                <w:rFonts w:eastAsia="SimSun" w:cs="+mn-cs"/>
                <w:color w:val="000000"/>
                <w:kern w:val="24"/>
                <w:sz w:val="16"/>
                <w:szCs w:val="16"/>
                <w:lang w:val="en-US"/>
              </w:rPr>
              <w:t xml:space="preserve"> on serving cell </w:t>
            </w:r>
            <m:oMath>
              <m:r>
                <w:rPr>
                  <w:rFonts w:ascii="Cambria Math" w:eastAsia="SimSun" w:hAnsi="Cambria Math" w:cs="+mn-cs"/>
                  <w:color w:val="000000"/>
                  <w:kern w:val="24"/>
                  <w:sz w:val="16"/>
                  <w:szCs w:val="16"/>
                  <w:lang w:val="en-US"/>
                </w:rPr>
                <m:t>c</m:t>
              </m:r>
            </m:oMath>
            <w:r w:rsidRPr="00EF6233">
              <w:rPr>
                <w:rFonts w:eastAsia="SimSun" w:cs="+mn-cs"/>
                <w:color w:val="000000"/>
                <w:kern w:val="24"/>
                <w:sz w:val="16"/>
                <w:szCs w:val="16"/>
              </w:rPr>
              <w:t>, the UE does not multiplex a HARQ-ACK information bit corresponding to the transport block in a Type-2 HARQ-ACK codebook</w:t>
            </w:r>
            <w:r w:rsidRPr="00EF6233">
              <w:rPr>
                <w:rFonts w:eastAsia="SimSun" w:cs="+mn-cs"/>
                <w:kern w:val="24"/>
                <w:sz w:val="16"/>
                <w:szCs w:val="16"/>
              </w:rPr>
              <w:t xml:space="preserve"> and does not consider the transport block</w:t>
            </w:r>
            <w:r>
              <w:rPr>
                <w:rFonts w:eastAsia="SimSun" w:cs="+mn-cs"/>
                <w:kern w:val="24"/>
                <w:sz w:val="16"/>
                <w:szCs w:val="16"/>
              </w:rPr>
              <w:t xml:space="preserve"> </w:t>
            </w:r>
            <w:r w:rsidRPr="00F63BA1">
              <w:rPr>
                <w:rFonts w:eastAsia="SimSun" w:cs="+mn-cs"/>
                <w:color w:val="FF0000"/>
                <w:kern w:val="24"/>
                <w:sz w:val="16"/>
                <w:szCs w:val="16"/>
                <w:u w:val="single"/>
              </w:rPr>
              <w:t>and the corresponding PDCCH, if any,</w:t>
            </w:r>
            <w:r w:rsidRPr="00EF6233">
              <w:rPr>
                <w:rFonts w:eastAsia="SimSun" w:cs="+mn-cs"/>
                <w:kern w:val="24"/>
                <w:sz w:val="16"/>
                <w:szCs w:val="16"/>
              </w:rPr>
              <w:t xml:space="preserve"> as received in the determination of </w:t>
            </w:r>
            <m:oMath>
              <m:sSubSup>
                <m:sSubSupPr>
                  <m:ctrlPr>
                    <w:rPr>
                      <w:rFonts w:ascii="Cambria Math" w:eastAsia="SimSun" w:hAnsi="Cambria Math" w:cs="+mn-cs"/>
                      <w:i/>
                      <w:iCs/>
                      <w:kern w:val="24"/>
                      <w:sz w:val="16"/>
                      <w:szCs w:val="16"/>
                      <w:lang w:val="en-US"/>
                    </w:rPr>
                  </m:ctrlPr>
                </m:sSubSupPr>
                <m:e>
                  <m:r>
                    <w:rPr>
                      <w:rFonts w:ascii="Cambria Math" w:eastAsia="SimSun" w:hAnsi="Cambria Math" w:cs="+mn-cs"/>
                      <w:kern w:val="24"/>
                      <w:sz w:val="16"/>
                      <w:szCs w:val="16"/>
                    </w:rPr>
                    <m:t>N</m:t>
                  </m:r>
                </m:e>
                <m:sub>
                  <m:r>
                    <w:rPr>
                      <w:rFonts w:ascii="Cambria Math" w:eastAsia="SimSun" w:hAnsi="Cambria Math" w:cs="+mn-cs"/>
                      <w:kern w:val="24"/>
                      <w:sz w:val="16"/>
                      <w:szCs w:val="16"/>
                    </w:rPr>
                    <m:t>m,c</m:t>
                  </m:r>
                </m:sub>
                <m:sup>
                  <m:r>
                    <m:rPr>
                      <m:sty m:val="p"/>
                    </m:rPr>
                    <w:rPr>
                      <w:rFonts w:ascii="Cambria Math" w:eastAsia="SimSun" w:hAnsi="Cambria Math" w:cs="+mn-cs"/>
                      <w:kern w:val="24"/>
                      <w:sz w:val="16"/>
                      <w:szCs w:val="16"/>
                    </w:rPr>
                    <m:t>received</m:t>
                  </m:r>
                </m:sup>
              </m:sSubSup>
            </m:oMath>
            <w:r w:rsidRPr="00EF6233">
              <w:rPr>
                <w:rFonts w:eastAsia="SimSun" w:cs="+mn-cs"/>
                <w:kern w:val="24"/>
                <w:sz w:val="16"/>
                <w:szCs w:val="16"/>
              </w:rPr>
              <w:t xml:space="preserve"> or of </w:t>
            </w:r>
            <m:oMath>
              <m:sSub>
                <m:sSubPr>
                  <m:ctrlPr>
                    <w:rPr>
                      <w:rFonts w:ascii="Cambria Math" w:eastAsia="SimSun" w:hAnsi="Cambria Math" w:cs="+mn-cs"/>
                      <w:i/>
                      <w:iCs/>
                      <w:kern w:val="24"/>
                      <w:sz w:val="16"/>
                      <w:szCs w:val="16"/>
                      <w:lang w:val="en-US"/>
                    </w:rPr>
                  </m:ctrlPr>
                </m:sSubPr>
                <m:e>
                  <m:r>
                    <w:rPr>
                      <w:rFonts w:ascii="Cambria Math" w:eastAsia="SimSun" w:hAnsi="Cambria Math" w:cs="+mn-cs"/>
                      <w:kern w:val="24"/>
                      <w:sz w:val="16"/>
                      <w:szCs w:val="16"/>
                    </w:rPr>
                    <m:t>N</m:t>
                  </m:r>
                </m:e>
                <m:sub>
                  <m:r>
                    <m:rPr>
                      <m:nor/>
                    </m:rPr>
                    <w:rPr>
                      <w:rFonts w:ascii="Cambria Math" w:eastAsia="SimSun" w:hAnsi="Cambria Math" w:cs="+mn-cs"/>
                      <w:kern w:val="24"/>
                      <w:sz w:val="16"/>
                      <w:szCs w:val="16"/>
                      <w:lang w:val="en-US"/>
                    </w:rPr>
                    <m:t>SPS,</m:t>
                  </m:r>
                  <m:r>
                    <m:rPr>
                      <m:nor/>
                    </m:rPr>
                    <w:rPr>
                      <w:rFonts w:ascii="Cambria Math" w:eastAsia="SimSun" w:hAnsi="Cambria Math" w:cs="+mn-cs"/>
                      <w:i/>
                      <w:iCs/>
                      <w:kern w:val="24"/>
                      <w:sz w:val="16"/>
                      <w:szCs w:val="16"/>
                      <w:lang w:val="en-US"/>
                    </w:rPr>
                    <m:t>c</m:t>
                  </m:r>
                </m:sub>
              </m:sSub>
            </m:oMath>
            <w:r w:rsidRPr="00EF6233">
              <w:rPr>
                <w:rFonts w:eastAsia="SimSun" w:cs="+mn-cs"/>
                <w:kern w:val="24"/>
                <w:sz w:val="16"/>
                <w:szCs w:val="16"/>
              </w:rPr>
              <w:t xml:space="preserve"> in clause 9.1.3.1. If the UE is also provided </w:t>
            </w:r>
            <w:r w:rsidRPr="00EF6233">
              <w:rPr>
                <w:rFonts w:eastAsia="SimSun" w:cs="+mn-cs"/>
                <w:i/>
                <w:iCs/>
                <w:kern w:val="24"/>
                <w:sz w:val="16"/>
                <w:szCs w:val="16"/>
              </w:rPr>
              <w:t>PDSCH-CodeBlockGroupTransmission</w:t>
            </w:r>
            <w:r w:rsidRPr="00EF6233">
              <w:rPr>
                <w:rFonts w:eastAsia="SimSun" w:cs="+mn-cs"/>
                <w:kern w:val="24"/>
                <w:sz w:val="16"/>
                <w:szCs w:val="16"/>
              </w:rPr>
              <w:t xml:space="preserve">, the UE does not multiplex HARQ-ACK information bits corresponding to CBGs of the transport block in the Type-2 HARQ-ACK codebook and does not consider the CBGs </w:t>
            </w:r>
            <w:r w:rsidRPr="00F63BA1">
              <w:rPr>
                <w:rFonts w:eastAsia="SimSun" w:cs="+mn-cs"/>
                <w:color w:val="FF0000"/>
                <w:kern w:val="24"/>
                <w:sz w:val="16"/>
                <w:szCs w:val="16"/>
                <w:u w:val="single"/>
              </w:rPr>
              <w:t>and the corresponding PDCCH, if any,</w:t>
            </w:r>
            <w:r>
              <w:rPr>
                <w:rFonts w:eastAsia="SimSun" w:cs="+mn-cs"/>
                <w:color w:val="FF0000"/>
                <w:kern w:val="24"/>
                <w:sz w:val="16"/>
                <w:szCs w:val="16"/>
              </w:rPr>
              <w:t xml:space="preserve"> </w:t>
            </w:r>
            <w:r w:rsidRPr="00EF6233">
              <w:rPr>
                <w:rFonts w:eastAsia="SimSun" w:cs="+mn-cs"/>
                <w:kern w:val="24"/>
                <w:sz w:val="16"/>
                <w:szCs w:val="16"/>
              </w:rPr>
              <w:t xml:space="preserve">as received in the determination of </w:t>
            </w:r>
            <m:oMath>
              <m:sSubSup>
                <m:sSubSupPr>
                  <m:ctrlPr>
                    <w:rPr>
                      <w:rFonts w:ascii="Cambria Math" w:eastAsia="SimSun" w:hAnsi="Cambria Math" w:cs="+mn-cs"/>
                      <w:i/>
                      <w:iCs/>
                      <w:kern w:val="24"/>
                      <w:sz w:val="16"/>
                      <w:szCs w:val="16"/>
                      <w:lang w:val="en-US"/>
                    </w:rPr>
                  </m:ctrlPr>
                </m:sSubSupPr>
                <m:e>
                  <m:r>
                    <w:rPr>
                      <w:rFonts w:ascii="Cambria Math" w:eastAsia="SimSun" w:hAnsi="Cambria Math" w:cs="+mn-cs"/>
                      <w:kern w:val="24"/>
                      <w:sz w:val="16"/>
                      <w:szCs w:val="16"/>
                    </w:rPr>
                    <m:t>N</m:t>
                  </m:r>
                </m:e>
                <m:sub>
                  <m:r>
                    <w:rPr>
                      <w:rFonts w:ascii="Cambria Math" w:eastAsia="SimSun" w:hAnsi="Cambria Math" w:cs="+mn-cs"/>
                      <w:kern w:val="24"/>
                      <w:sz w:val="16"/>
                      <w:szCs w:val="16"/>
                    </w:rPr>
                    <m:t>m,c</m:t>
                  </m:r>
                </m:sub>
                <m:sup>
                  <m:r>
                    <m:rPr>
                      <m:sty m:val="p"/>
                    </m:rPr>
                    <w:rPr>
                      <w:rFonts w:ascii="Cambria Math" w:eastAsia="SimSun" w:hAnsi="Cambria Math" w:cs="+mn-cs"/>
                      <w:kern w:val="24"/>
                      <w:sz w:val="16"/>
                      <w:szCs w:val="16"/>
                    </w:rPr>
                    <m:t>received,CBG</m:t>
                  </m:r>
                </m:sup>
              </m:sSubSup>
            </m:oMath>
            <w:r w:rsidRPr="00EF6233">
              <w:rPr>
                <w:rFonts w:eastAsia="SimSun" w:cs="+mn-cs"/>
                <w:kern w:val="24"/>
                <w:sz w:val="16"/>
                <w:szCs w:val="16"/>
              </w:rPr>
              <w:t xml:space="preserve"> in clause 9.1.3.1. If the UE is also provide</w:t>
            </w:r>
            <w:r w:rsidRPr="00EF6233">
              <w:rPr>
                <w:rFonts w:eastAsia="SimSun" w:cs="+mn-cs"/>
                <w:color w:val="000000"/>
                <w:kern w:val="24"/>
                <w:sz w:val="16"/>
                <w:szCs w:val="16"/>
              </w:rPr>
              <w:t xml:space="preserve">d </w:t>
            </w:r>
            <w:r w:rsidRPr="00EF6233">
              <w:rPr>
                <w:rFonts w:eastAsia="SimSun" w:cs="+mn-cs"/>
                <w:i/>
                <w:iCs/>
                <w:color w:val="000000"/>
                <w:kern w:val="24"/>
                <w:sz w:val="16"/>
                <w:szCs w:val="16"/>
              </w:rPr>
              <w:t>HARQ-feedbackEnablingforSPSactive</w:t>
            </w:r>
            <w:r w:rsidRPr="00EF6233">
              <w:rPr>
                <w:rFonts w:eastAsia="SimSun" w:cs="+mn-cs"/>
                <w:color w:val="000000"/>
                <w:kern w:val="24"/>
                <w:sz w:val="16"/>
                <w:szCs w:val="16"/>
              </w:rPr>
              <w:t xml:space="preserve">, the UE considers a HARQ process associated with a transport block in a first SPS </w:t>
            </w:r>
            <w:r w:rsidRPr="00EF6233">
              <w:rPr>
                <w:rFonts w:eastAsia="SimSun" w:cs="+mn-cs"/>
                <w:color w:val="000000"/>
                <w:kern w:val="24"/>
                <w:sz w:val="16"/>
                <w:szCs w:val="16"/>
                <w:lang w:val="en-US"/>
              </w:rPr>
              <w:t>PDSCH reception, after an activation of SPS PDSCH receptions,</w:t>
            </w:r>
            <w:r w:rsidRPr="00EF6233">
              <w:rPr>
                <w:rFonts w:eastAsia="SimSun" w:cs="+mn-cs"/>
                <w:color w:val="000000"/>
                <w:kern w:val="24"/>
                <w:sz w:val="16"/>
                <w:szCs w:val="16"/>
              </w:rPr>
              <w:t xml:space="preserve"> to have enabled HARQ-ACK information and the UE provides a HARQ-ACK information bit according to a decoding outcome for the transport block in the first SPS </w:t>
            </w:r>
            <w:r w:rsidRPr="00EF6233">
              <w:rPr>
                <w:rFonts w:eastAsia="SimSun" w:cs="+mn-cs"/>
                <w:color w:val="000000"/>
                <w:kern w:val="24"/>
                <w:sz w:val="16"/>
                <w:szCs w:val="16"/>
                <w:lang w:val="en-US"/>
              </w:rPr>
              <w:t>PDSCH reception</w:t>
            </w:r>
            <w:r w:rsidRPr="00EF6233">
              <w:rPr>
                <w:rFonts w:eastAsia="SimSun" w:cs="+mn-cs"/>
                <w:color w:val="000000"/>
                <w:kern w:val="24"/>
                <w:sz w:val="16"/>
                <w:szCs w:val="16"/>
              </w:rPr>
              <w:t>.</w:t>
            </w:r>
          </w:p>
          <w:p w14:paraId="68306841" w14:textId="77777777" w:rsidR="007D74D6" w:rsidRPr="00EF6233" w:rsidRDefault="007D74D6" w:rsidP="00513CEB">
            <w:pPr>
              <w:spacing w:after="0"/>
              <w:rPr>
                <w:rFonts w:ascii="ＭＳ Ｐゴシック" w:eastAsia="ＭＳ Ｐゴシック" w:hAnsi="ＭＳ Ｐゴシック" w:cs="ＭＳ Ｐゴシック"/>
                <w:szCs w:val="24"/>
                <w:lang w:val="en-US"/>
              </w:rPr>
            </w:pPr>
            <w:r w:rsidRPr="00EF6233">
              <w:rPr>
                <w:rFonts w:eastAsia="SimSun" w:cs="+mn-cs"/>
                <w:color w:val="000000"/>
                <w:kern w:val="24"/>
                <w:sz w:val="16"/>
                <w:szCs w:val="16"/>
              </w:rPr>
              <w:t>...</w:t>
            </w:r>
          </w:p>
        </w:tc>
      </w:tr>
    </w:tbl>
    <w:p w14:paraId="769DDC73" w14:textId="2983A933" w:rsidR="0083761A" w:rsidRDefault="0083761A" w:rsidP="007B7225">
      <w:pPr>
        <w:spacing w:beforeLines="50" w:before="120" w:afterLines="50" w:after="120"/>
        <w:jc w:val="both"/>
        <w:rPr>
          <w:rFonts w:eastAsiaTheme="minorEastAsia"/>
          <w:iCs/>
          <w:sz w:val="22"/>
          <w:lang w:val="en-US"/>
        </w:rPr>
      </w:pPr>
    </w:p>
    <w:p w14:paraId="5D3D77A6" w14:textId="3C5D7F90" w:rsidR="002E5BA2" w:rsidRPr="00574A29" w:rsidRDefault="002E5BA2" w:rsidP="002E5BA2">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32 HARQ processes</w:t>
      </w:r>
    </w:p>
    <w:tbl>
      <w:tblPr>
        <w:tblStyle w:val="afc"/>
        <w:tblW w:w="0" w:type="auto"/>
        <w:tblLook w:val="04A0" w:firstRow="1" w:lastRow="0" w:firstColumn="1" w:lastColumn="0" w:noHBand="0" w:noVBand="1"/>
      </w:tblPr>
      <w:tblGrid>
        <w:gridCol w:w="9962"/>
      </w:tblGrid>
      <w:tr w:rsidR="002E5BA2" w:rsidRPr="00284247" w14:paraId="52F5D668" w14:textId="77777777" w:rsidTr="00084BA2">
        <w:tc>
          <w:tcPr>
            <w:tcW w:w="9962" w:type="dxa"/>
          </w:tcPr>
          <w:p w14:paraId="10698902" w14:textId="2F7285AC" w:rsidR="002E5BA2" w:rsidRPr="00EF6233" w:rsidRDefault="002E5BA2" w:rsidP="00084BA2">
            <w:pPr>
              <w:spacing w:after="0"/>
              <w:rPr>
                <w:rFonts w:eastAsia="SimSun" w:cs="+mn-cs"/>
                <w:color w:val="000000"/>
                <w:kern w:val="24"/>
                <w:sz w:val="16"/>
                <w:szCs w:val="16"/>
                <w:u w:val="single"/>
              </w:rPr>
            </w:pPr>
            <w:r w:rsidRPr="00EF6233">
              <w:rPr>
                <w:rFonts w:eastAsia="SimSun" w:cs="+mn-cs"/>
                <w:color w:val="000000"/>
                <w:kern w:val="24"/>
                <w:sz w:val="16"/>
                <w:szCs w:val="16"/>
                <w:u w:val="single"/>
              </w:rPr>
              <w:t>38.21</w:t>
            </w:r>
            <w:r>
              <w:rPr>
                <w:rFonts w:eastAsia="SimSun" w:cs="+mn-cs"/>
                <w:color w:val="000000"/>
                <w:kern w:val="24"/>
                <w:sz w:val="16"/>
                <w:szCs w:val="16"/>
                <w:u w:val="single"/>
              </w:rPr>
              <w:t>4</w:t>
            </w:r>
            <w:r w:rsidRPr="00EF6233">
              <w:rPr>
                <w:rFonts w:eastAsia="SimSun" w:cs="+mn-cs"/>
                <w:color w:val="000000"/>
                <w:kern w:val="24"/>
                <w:sz w:val="16"/>
                <w:szCs w:val="16"/>
                <w:u w:val="single"/>
              </w:rPr>
              <w:t xml:space="preserve"> V17.0.0</w:t>
            </w:r>
          </w:p>
          <w:p w14:paraId="3BB9BDC9" w14:textId="77777777" w:rsidR="002E5BA2" w:rsidRPr="00EF6233" w:rsidRDefault="002E5BA2" w:rsidP="00084BA2">
            <w:pPr>
              <w:spacing w:after="0"/>
              <w:rPr>
                <w:rFonts w:eastAsia="SimSun" w:cs="+mn-cs"/>
                <w:color w:val="000000"/>
                <w:kern w:val="24"/>
                <w:sz w:val="16"/>
                <w:szCs w:val="16"/>
              </w:rPr>
            </w:pPr>
          </w:p>
          <w:p w14:paraId="2B4E71D7" w14:textId="77777777" w:rsidR="002E5BA2" w:rsidRDefault="002E5BA2" w:rsidP="00084BA2">
            <w:pPr>
              <w:spacing w:after="0"/>
              <w:rPr>
                <w:rFonts w:ascii="Calibri" w:eastAsia="メイリオ" w:hAnsi="Calibri" w:cs="+mn-cs"/>
                <w:b/>
                <w:bCs/>
                <w:color w:val="000000"/>
                <w:kern w:val="24"/>
                <w:sz w:val="16"/>
                <w:szCs w:val="16"/>
              </w:rPr>
            </w:pPr>
            <w:r w:rsidRPr="002E5BA2">
              <w:rPr>
                <w:rFonts w:ascii="Calibri" w:eastAsia="メイリオ" w:hAnsi="Calibri" w:cs="+mn-cs"/>
                <w:b/>
                <w:bCs/>
                <w:color w:val="000000"/>
                <w:kern w:val="24"/>
                <w:sz w:val="16"/>
                <w:szCs w:val="16"/>
              </w:rPr>
              <w:t>5.1</w:t>
            </w:r>
            <w:r w:rsidRPr="002E5BA2">
              <w:rPr>
                <w:rFonts w:ascii="Calibri" w:eastAsia="メイリオ" w:hAnsi="Calibri" w:cs="+mn-cs"/>
                <w:b/>
                <w:bCs/>
                <w:color w:val="000000"/>
                <w:kern w:val="24"/>
                <w:sz w:val="16"/>
                <w:szCs w:val="16"/>
              </w:rPr>
              <w:tab/>
              <w:t>UE procedure for receiving the physical downlink shared channel</w:t>
            </w:r>
          </w:p>
          <w:p w14:paraId="5637B18A" w14:textId="2FC873DE" w:rsidR="002E5BA2" w:rsidRPr="002E5BA2" w:rsidRDefault="002E5BA2" w:rsidP="00084BA2">
            <w:pPr>
              <w:spacing w:after="0"/>
              <w:rPr>
                <w:rFonts w:eastAsia="SimSun" w:cs="+mn-cs"/>
                <w:color w:val="000000"/>
                <w:kern w:val="24"/>
                <w:sz w:val="16"/>
                <w:szCs w:val="16"/>
              </w:rPr>
            </w:pPr>
            <w:r w:rsidRPr="002E5BA2">
              <w:rPr>
                <w:rFonts w:eastAsia="SimSun" w:cs="+mn-cs"/>
                <w:color w:val="000000"/>
                <w:kern w:val="24"/>
                <w:sz w:val="16"/>
                <w:szCs w:val="16"/>
              </w:rPr>
              <w:t xml:space="preserve">For downlink, a maximum of 16 HARQ processes per cell are supported by the UE, or subject to UE capability, </w:t>
            </w:r>
            <w:r w:rsidRPr="002E5BA2">
              <w:rPr>
                <w:rFonts w:eastAsia="SimSun" w:cs="+mn-cs"/>
                <w:bCs/>
                <w:color w:val="000000"/>
                <w:kern w:val="24"/>
                <w:sz w:val="16"/>
                <w:szCs w:val="16"/>
              </w:rPr>
              <w:t xml:space="preserve">a maximum of 32 HARQ processes per cell for the cases of </w:t>
            </w:r>
            <w:r w:rsidRPr="002E5BA2">
              <w:rPr>
                <w:rFonts w:eastAsiaTheme="minorEastAsia"/>
                <w:bCs/>
                <w:color w:val="000000"/>
                <w:kern w:val="24"/>
                <w:sz w:val="16"/>
                <w:szCs w:val="16"/>
              </w:rPr>
              <w:t>μ</w:t>
            </w:r>
            <w:r w:rsidRPr="002E5BA2">
              <w:rPr>
                <w:rFonts w:eastAsia="SimSun" w:cs="+mn-cs"/>
                <w:bCs/>
                <w:color w:val="000000"/>
                <w:kern w:val="24"/>
                <w:sz w:val="16"/>
                <w:szCs w:val="16"/>
              </w:rPr>
              <w:t xml:space="preserve"> = 5 and</w:t>
            </w:r>
            <w:r w:rsidR="00424C5B">
              <w:rPr>
                <w:rFonts w:asciiTheme="minorEastAsia" w:eastAsiaTheme="minorEastAsia" w:hAnsiTheme="minorEastAsia" w:cs="+mn-cs" w:hint="eastAsia"/>
                <w:bCs/>
                <w:color w:val="000000"/>
                <w:kern w:val="24"/>
                <w:sz w:val="16"/>
                <w:szCs w:val="16"/>
              </w:rPr>
              <w:t xml:space="preserve"> </w:t>
            </w:r>
            <w:r w:rsidRPr="002E5BA2">
              <w:rPr>
                <w:rFonts w:eastAsiaTheme="minorEastAsia"/>
                <w:bCs/>
                <w:color w:val="000000"/>
                <w:kern w:val="24"/>
                <w:sz w:val="16"/>
                <w:szCs w:val="16"/>
              </w:rPr>
              <w:t>μ</w:t>
            </w:r>
            <w:r w:rsidR="00424C5B">
              <w:rPr>
                <w:rFonts w:eastAsiaTheme="minorEastAsia" w:hint="eastAsia"/>
                <w:bCs/>
                <w:color w:val="000000"/>
                <w:kern w:val="24"/>
                <w:sz w:val="16"/>
                <w:szCs w:val="16"/>
              </w:rPr>
              <w:t xml:space="preserve"> </w:t>
            </w:r>
            <w:r w:rsidRPr="002E5BA2">
              <w:rPr>
                <w:rFonts w:eastAsia="SimSun" w:cs="+mn-cs"/>
                <w:bCs/>
                <w:color w:val="000000"/>
                <w:kern w:val="24"/>
                <w:sz w:val="16"/>
                <w:szCs w:val="16"/>
              </w:rPr>
              <w:t>= 6</w:t>
            </w:r>
            <w:r w:rsidRPr="002E5BA2">
              <w:rPr>
                <w:rFonts w:eastAsia="SimSun" w:cs="+mn-cs"/>
                <w:color w:val="000000"/>
                <w:kern w:val="24"/>
                <w:sz w:val="16"/>
                <w:szCs w:val="16"/>
              </w:rPr>
              <w:t xml:space="preserve">. The number of processes the UE may assume will at most be used for the downlink is configured to the UE for each cell separately by higher layer parameter </w:t>
            </w:r>
            <w:r w:rsidRPr="002E5BA2">
              <w:rPr>
                <w:rFonts w:eastAsia="SimSun" w:cs="+mn-cs"/>
                <w:i/>
                <w:color w:val="000000"/>
                <w:kern w:val="24"/>
                <w:sz w:val="16"/>
                <w:szCs w:val="16"/>
              </w:rPr>
              <w:t>nrofHARQ-ProcessesForPDSCH</w:t>
            </w:r>
            <w:r w:rsidRPr="002E5BA2">
              <w:rPr>
                <w:rFonts w:eastAsia="SimSun" w:cs="+mn-cs"/>
                <w:color w:val="000000"/>
                <w:kern w:val="24"/>
                <w:sz w:val="16"/>
                <w:szCs w:val="16"/>
              </w:rPr>
              <w:t>, and when no configuration is provided the UE may assume a default number of 8 processes.</w:t>
            </w:r>
          </w:p>
          <w:p w14:paraId="52366608" w14:textId="3411CB09" w:rsidR="002E5BA2" w:rsidRDefault="002E5BA2" w:rsidP="00084BA2">
            <w:pPr>
              <w:spacing w:after="0"/>
              <w:rPr>
                <w:rFonts w:eastAsia="SimSun" w:cs="+mn-cs"/>
                <w:color w:val="000000"/>
                <w:kern w:val="24"/>
                <w:sz w:val="16"/>
                <w:szCs w:val="16"/>
              </w:rPr>
            </w:pPr>
            <w:r w:rsidRPr="00EF6233">
              <w:rPr>
                <w:rFonts w:eastAsia="SimSun" w:cs="+mn-cs"/>
                <w:color w:val="000000"/>
                <w:kern w:val="24"/>
                <w:sz w:val="16"/>
                <w:szCs w:val="16"/>
              </w:rPr>
              <w:t>...</w:t>
            </w:r>
          </w:p>
          <w:p w14:paraId="1BFE50DC" w14:textId="1BA35756" w:rsidR="002E5BA2" w:rsidRDefault="002E5BA2" w:rsidP="002E5BA2">
            <w:pPr>
              <w:spacing w:after="0"/>
              <w:rPr>
                <w:rFonts w:ascii="Calibri" w:eastAsia="メイリオ" w:hAnsi="Calibri" w:cs="+mn-cs"/>
                <w:b/>
                <w:bCs/>
                <w:color w:val="000000"/>
                <w:kern w:val="24"/>
                <w:sz w:val="16"/>
                <w:szCs w:val="16"/>
              </w:rPr>
            </w:pPr>
            <w:r w:rsidRPr="002E5BA2">
              <w:rPr>
                <w:rFonts w:ascii="Calibri" w:eastAsia="メイリオ" w:hAnsi="Calibri" w:cs="+mn-cs"/>
                <w:b/>
                <w:bCs/>
                <w:color w:val="000000"/>
                <w:kern w:val="24"/>
                <w:sz w:val="16"/>
                <w:szCs w:val="16"/>
              </w:rPr>
              <w:t>6.1</w:t>
            </w:r>
            <w:r w:rsidRPr="002E5BA2">
              <w:rPr>
                <w:rFonts w:ascii="Calibri" w:eastAsia="メイリオ" w:hAnsi="Calibri" w:cs="+mn-cs"/>
                <w:b/>
                <w:bCs/>
                <w:color w:val="000000"/>
                <w:kern w:val="24"/>
                <w:sz w:val="16"/>
                <w:szCs w:val="16"/>
              </w:rPr>
              <w:tab/>
              <w:t>UE procedure for transmitting the physical uplink shared channel</w:t>
            </w:r>
          </w:p>
          <w:p w14:paraId="215420BA" w14:textId="77777777" w:rsidR="002E5BA2" w:rsidRDefault="002E5BA2" w:rsidP="002E5BA2">
            <w:pPr>
              <w:spacing w:after="0"/>
              <w:rPr>
                <w:rFonts w:eastAsia="SimSun" w:cs="+mn-cs"/>
                <w:color w:val="000000"/>
                <w:kern w:val="24"/>
                <w:sz w:val="16"/>
                <w:szCs w:val="16"/>
              </w:rPr>
            </w:pPr>
            <w:r w:rsidRPr="00EF6233">
              <w:rPr>
                <w:rFonts w:eastAsia="SimSun" w:cs="+mn-cs"/>
                <w:color w:val="000000"/>
                <w:kern w:val="24"/>
                <w:sz w:val="16"/>
                <w:szCs w:val="16"/>
              </w:rPr>
              <w:t>...</w:t>
            </w:r>
          </w:p>
          <w:p w14:paraId="31A2F09F" w14:textId="6ABD71E1" w:rsidR="002E5BA2" w:rsidRPr="002E5BA2" w:rsidRDefault="002E5BA2" w:rsidP="002E5BA2">
            <w:pPr>
              <w:spacing w:after="0"/>
              <w:rPr>
                <w:rFonts w:eastAsiaTheme="minorEastAsia" w:cs="+mn-cs"/>
                <w:color w:val="000000"/>
                <w:kern w:val="24"/>
                <w:sz w:val="16"/>
                <w:szCs w:val="16"/>
              </w:rPr>
            </w:pPr>
            <w:r w:rsidRPr="002E5BA2">
              <w:rPr>
                <w:rFonts w:eastAsiaTheme="minorEastAsia" w:cs="+mn-cs"/>
                <w:color w:val="000000"/>
                <w:kern w:val="24"/>
                <w:sz w:val="16"/>
                <w:szCs w:val="16"/>
              </w:rPr>
              <w:t xml:space="preserve">For uplink, 16 HARQ processes per cell are supported by the UE, or subject to UE capability, </w:t>
            </w:r>
            <w:r w:rsidRPr="002E5BA2">
              <w:rPr>
                <w:rFonts w:eastAsiaTheme="minorEastAsia" w:cs="+mn-cs"/>
                <w:bCs/>
                <w:color w:val="000000"/>
                <w:kern w:val="24"/>
                <w:sz w:val="16"/>
                <w:szCs w:val="16"/>
              </w:rPr>
              <w:t>a maximum of 32 HARQ processes per cell for the cases of</w:t>
            </w:r>
            <w:r w:rsidR="00424C5B">
              <w:rPr>
                <w:rFonts w:eastAsiaTheme="minorEastAsia" w:cs="+mn-cs" w:hint="eastAsia"/>
                <w:bCs/>
                <w:color w:val="000000"/>
                <w:kern w:val="24"/>
                <w:sz w:val="16"/>
                <w:szCs w:val="16"/>
              </w:rPr>
              <w:t xml:space="preserve"> </w:t>
            </w:r>
            <w:r w:rsidR="00424C5B" w:rsidRPr="002E5BA2">
              <w:rPr>
                <w:rFonts w:eastAsiaTheme="minorEastAsia"/>
                <w:bCs/>
                <w:color w:val="000000"/>
                <w:kern w:val="24"/>
                <w:sz w:val="16"/>
                <w:szCs w:val="16"/>
              </w:rPr>
              <w:t>μ</w:t>
            </w:r>
            <w:r w:rsidR="00424C5B">
              <w:rPr>
                <w:rFonts w:eastAsiaTheme="minorEastAsia" w:hint="eastAsia"/>
                <w:bCs/>
                <w:color w:val="000000"/>
                <w:kern w:val="24"/>
                <w:sz w:val="16"/>
                <w:szCs w:val="16"/>
              </w:rPr>
              <w:t xml:space="preserve"> </w:t>
            </w:r>
            <w:r w:rsidRPr="002E5BA2">
              <w:rPr>
                <w:rFonts w:eastAsiaTheme="minorEastAsia" w:cs="+mn-cs"/>
                <w:bCs/>
                <w:color w:val="000000"/>
                <w:kern w:val="24"/>
                <w:sz w:val="16"/>
                <w:szCs w:val="16"/>
              </w:rPr>
              <w:t>= 5 or</w:t>
            </w:r>
            <w:r w:rsidR="00424C5B">
              <w:rPr>
                <w:rFonts w:eastAsiaTheme="minorEastAsia" w:cs="+mn-cs" w:hint="eastAsia"/>
                <w:bCs/>
                <w:color w:val="000000"/>
                <w:kern w:val="24"/>
                <w:sz w:val="16"/>
                <w:szCs w:val="16"/>
              </w:rPr>
              <w:t xml:space="preserve"> </w:t>
            </w:r>
            <w:r w:rsidR="00424C5B" w:rsidRPr="002E5BA2">
              <w:rPr>
                <w:rFonts w:eastAsiaTheme="minorEastAsia"/>
                <w:bCs/>
                <w:color w:val="000000"/>
                <w:kern w:val="24"/>
                <w:sz w:val="16"/>
                <w:szCs w:val="16"/>
              </w:rPr>
              <w:t>μ</w:t>
            </w:r>
            <w:r w:rsidR="00424C5B">
              <w:rPr>
                <w:rFonts w:eastAsiaTheme="minorEastAsia" w:hint="eastAsia"/>
                <w:bCs/>
                <w:color w:val="000000"/>
                <w:kern w:val="24"/>
                <w:sz w:val="16"/>
                <w:szCs w:val="16"/>
              </w:rPr>
              <w:t xml:space="preserve"> </w:t>
            </w:r>
            <w:r w:rsidRPr="002E5BA2">
              <w:rPr>
                <w:rFonts w:eastAsiaTheme="minorEastAsia" w:cs="+mn-cs"/>
                <w:bCs/>
                <w:color w:val="000000"/>
                <w:kern w:val="24"/>
                <w:sz w:val="16"/>
                <w:szCs w:val="16"/>
              </w:rPr>
              <w:t>= 6</w:t>
            </w:r>
            <w:r w:rsidRPr="002E5BA2">
              <w:rPr>
                <w:rFonts w:eastAsiaTheme="minorEastAsia" w:cs="+mn-cs"/>
                <w:color w:val="000000"/>
                <w:kern w:val="24"/>
                <w:sz w:val="16"/>
                <w:szCs w:val="16"/>
              </w:rPr>
              <w:t>.</w:t>
            </w:r>
          </w:p>
        </w:tc>
      </w:tr>
    </w:tbl>
    <w:p w14:paraId="3AFED4FB" w14:textId="4BE332CB" w:rsidR="002E5BA2" w:rsidRDefault="002E5BA2" w:rsidP="007B7225">
      <w:pPr>
        <w:spacing w:beforeLines="50" w:before="120" w:afterLines="50" w:after="120"/>
        <w:jc w:val="both"/>
        <w:rPr>
          <w:rFonts w:eastAsiaTheme="minorEastAsia"/>
          <w:iCs/>
          <w:sz w:val="22"/>
          <w:lang w:val="en-US"/>
        </w:rPr>
      </w:pPr>
      <w:r>
        <w:rPr>
          <w:rFonts w:eastAsiaTheme="minorEastAsia" w:hint="eastAsia"/>
          <w:iCs/>
          <w:sz w:val="22"/>
          <w:lang w:val="en-US"/>
        </w:rPr>
        <w:lastRenderedPageBreak/>
        <w:t>I</w:t>
      </w:r>
      <w:r>
        <w:rPr>
          <w:rFonts w:eastAsiaTheme="minorEastAsia"/>
          <w:iCs/>
          <w:sz w:val="22"/>
          <w:lang w:val="en-US"/>
        </w:rPr>
        <w:t>n Rel-17 NTN, maximum of 32 HARQ processes was agreed to handle the quite large propagation delay. The same mechanism was introduced for FR2-2 as well. However, the current specification mentions only the FR2-2 perspective. The following text proposal is submitted to cover NTN.</w:t>
      </w:r>
    </w:p>
    <w:p w14:paraId="2872EB51" w14:textId="1B9A43C5" w:rsidR="002E5BA2" w:rsidRPr="00A077A0" w:rsidRDefault="002E5BA2" w:rsidP="002E5BA2">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sidR="006B4D42">
        <w:rPr>
          <w:rFonts w:eastAsiaTheme="minorEastAsia"/>
          <w:b/>
          <w:sz w:val="22"/>
          <w:u w:val="single"/>
          <w:lang w:val="en-US"/>
        </w:rPr>
        <w:t>5</w:t>
      </w:r>
      <w:r w:rsidRPr="00A077A0">
        <w:rPr>
          <w:rFonts w:eastAsiaTheme="minorEastAsia"/>
          <w:b/>
          <w:sz w:val="22"/>
          <w:u w:val="single"/>
          <w:lang w:val="en-US"/>
        </w:rPr>
        <w:t>:</w:t>
      </w:r>
    </w:p>
    <w:p w14:paraId="5BBA3DFE" w14:textId="044E58E5" w:rsidR="002E5BA2" w:rsidRDefault="002E5BA2" w:rsidP="002E5BA2">
      <w:pPr>
        <w:numPr>
          <w:ilvl w:val="0"/>
          <w:numId w:val="18"/>
        </w:numPr>
        <w:spacing w:before="50" w:afterLines="50" w:after="120"/>
        <w:jc w:val="both"/>
        <w:rPr>
          <w:rFonts w:eastAsiaTheme="minorEastAsia"/>
          <w:i/>
          <w:sz w:val="22"/>
          <w:lang w:val="en-US"/>
        </w:rPr>
      </w:pPr>
      <w:r>
        <w:rPr>
          <w:rFonts w:eastAsiaTheme="minorEastAsia"/>
          <w:i/>
          <w:sz w:val="22"/>
        </w:rPr>
        <w:t>A</w:t>
      </w:r>
      <w:r w:rsidRPr="007D74D6">
        <w:rPr>
          <w:rFonts w:eastAsiaTheme="minorEastAsia"/>
          <w:i/>
          <w:sz w:val="22"/>
        </w:rPr>
        <w:t>pply the following TP</w:t>
      </w:r>
      <w:r>
        <w:rPr>
          <w:rFonts w:eastAsiaTheme="minorEastAsia"/>
          <w:i/>
          <w:sz w:val="22"/>
        </w:rPr>
        <w:t>.</w:t>
      </w:r>
    </w:p>
    <w:tbl>
      <w:tblPr>
        <w:tblStyle w:val="afc"/>
        <w:tblW w:w="0" w:type="auto"/>
        <w:tblLook w:val="04A0" w:firstRow="1" w:lastRow="0" w:firstColumn="1" w:lastColumn="0" w:noHBand="0" w:noVBand="1"/>
      </w:tblPr>
      <w:tblGrid>
        <w:gridCol w:w="9962"/>
      </w:tblGrid>
      <w:tr w:rsidR="002E5BA2" w:rsidRPr="00284247" w14:paraId="6695F1A7" w14:textId="77777777" w:rsidTr="00084BA2">
        <w:tc>
          <w:tcPr>
            <w:tcW w:w="9962" w:type="dxa"/>
          </w:tcPr>
          <w:p w14:paraId="2DBC3F9C" w14:textId="77777777" w:rsidR="00424C5B" w:rsidRPr="00EF6233" w:rsidRDefault="00424C5B" w:rsidP="00424C5B">
            <w:pPr>
              <w:spacing w:after="0"/>
              <w:rPr>
                <w:rFonts w:eastAsia="SimSun" w:cs="+mn-cs"/>
                <w:color w:val="000000"/>
                <w:kern w:val="24"/>
                <w:sz w:val="16"/>
                <w:szCs w:val="16"/>
                <w:u w:val="single"/>
              </w:rPr>
            </w:pPr>
            <w:r w:rsidRPr="00EF6233">
              <w:rPr>
                <w:rFonts w:eastAsia="SimSun" w:cs="+mn-cs"/>
                <w:color w:val="000000"/>
                <w:kern w:val="24"/>
                <w:sz w:val="16"/>
                <w:szCs w:val="16"/>
                <w:u w:val="single"/>
              </w:rPr>
              <w:t>38.21</w:t>
            </w:r>
            <w:r>
              <w:rPr>
                <w:rFonts w:eastAsia="SimSun" w:cs="+mn-cs"/>
                <w:color w:val="000000"/>
                <w:kern w:val="24"/>
                <w:sz w:val="16"/>
                <w:szCs w:val="16"/>
                <w:u w:val="single"/>
              </w:rPr>
              <w:t>4</w:t>
            </w:r>
            <w:r w:rsidRPr="00EF6233">
              <w:rPr>
                <w:rFonts w:eastAsia="SimSun" w:cs="+mn-cs"/>
                <w:color w:val="000000"/>
                <w:kern w:val="24"/>
                <w:sz w:val="16"/>
                <w:szCs w:val="16"/>
                <w:u w:val="single"/>
              </w:rPr>
              <w:t xml:space="preserve"> V17.0.0</w:t>
            </w:r>
          </w:p>
          <w:p w14:paraId="29E10AF7" w14:textId="77777777" w:rsidR="00424C5B" w:rsidRPr="00EF6233" w:rsidRDefault="00424C5B" w:rsidP="00424C5B">
            <w:pPr>
              <w:spacing w:after="0"/>
              <w:rPr>
                <w:rFonts w:eastAsia="SimSun" w:cs="+mn-cs"/>
                <w:color w:val="000000"/>
                <w:kern w:val="24"/>
                <w:sz w:val="16"/>
                <w:szCs w:val="16"/>
              </w:rPr>
            </w:pPr>
          </w:p>
          <w:p w14:paraId="396E7545" w14:textId="77777777" w:rsidR="00424C5B" w:rsidRDefault="00424C5B" w:rsidP="00424C5B">
            <w:pPr>
              <w:spacing w:after="0"/>
              <w:rPr>
                <w:rFonts w:ascii="Calibri" w:eastAsia="メイリオ" w:hAnsi="Calibri" w:cs="+mn-cs"/>
                <w:b/>
                <w:bCs/>
                <w:color w:val="000000"/>
                <w:kern w:val="24"/>
                <w:sz w:val="16"/>
                <w:szCs w:val="16"/>
              </w:rPr>
            </w:pPr>
            <w:r w:rsidRPr="002E5BA2">
              <w:rPr>
                <w:rFonts w:ascii="Calibri" w:eastAsia="メイリオ" w:hAnsi="Calibri" w:cs="+mn-cs"/>
                <w:b/>
                <w:bCs/>
                <w:color w:val="000000"/>
                <w:kern w:val="24"/>
                <w:sz w:val="16"/>
                <w:szCs w:val="16"/>
              </w:rPr>
              <w:t>5.1</w:t>
            </w:r>
            <w:r w:rsidRPr="002E5BA2">
              <w:rPr>
                <w:rFonts w:ascii="Calibri" w:eastAsia="メイリオ" w:hAnsi="Calibri" w:cs="+mn-cs"/>
                <w:b/>
                <w:bCs/>
                <w:color w:val="000000"/>
                <w:kern w:val="24"/>
                <w:sz w:val="16"/>
                <w:szCs w:val="16"/>
              </w:rPr>
              <w:tab/>
              <w:t>UE procedure for receiving the physical downlink shared channel</w:t>
            </w:r>
          </w:p>
          <w:p w14:paraId="5D95977E" w14:textId="7711E09E" w:rsidR="00424C5B" w:rsidRPr="002E5BA2" w:rsidRDefault="00424C5B" w:rsidP="00424C5B">
            <w:pPr>
              <w:spacing w:after="0"/>
              <w:rPr>
                <w:rFonts w:eastAsia="SimSun" w:cs="+mn-cs"/>
                <w:color w:val="000000"/>
                <w:kern w:val="24"/>
                <w:sz w:val="16"/>
                <w:szCs w:val="16"/>
              </w:rPr>
            </w:pPr>
            <w:r w:rsidRPr="002E5BA2">
              <w:rPr>
                <w:rFonts w:eastAsia="SimSun" w:cs="+mn-cs"/>
                <w:color w:val="000000"/>
                <w:kern w:val="24"/>
                <w:sz w:val="16"/>
                <w:szCs w:val="16"/>
              </w:rPr>
              <w:t xml:space="preserve">For downlink, a maximum of 16 HARQ processes per cell are supported by the UE, or subject to UE capability, </w:t>
            </w:r>
            <w:r w:rsidRPr="002E5BA2">
              <w:rPr>
                <w:rFonts w:eastAsia="SimSun" w:cs="+mn-cs"/>
                <w:bCs/>
                <w:color w:val="000000"/>
                <w:kern w:val="24"/>
                <w:sz w:val="16"/>
                <w:szCs w:val="16"/>
              </w:rPr>
              <w:t xml:space="preserve">a maximum of 32 HARQ processes per cell for the cases of </w:t>
            </w:r>
            <w:r w:rsidRPr="002E5BA2">
              <w:rPr>
                <w:rFonts w:eastAsiaTheme="minorEastAsia"/>
                <w:bCs/>
                <w:color w:val="000000"/>
                <w:kern w:val="24"/>
                <w:sz w:val="16"/>
                <w:szCs w:val="16"/>
              </w:rPr>
              <w:t>μ</w:t>
            </w:r>
            <w:r w:rsidRPr="002E5BA2">
              <w:rPr>
                <w:rFonts w:eastAsia="SimSun" w:cs="+mn-cs"/>
                <w:bCs/>
                <w:color w:val="000000"/>
                <w:kern w:val="24"/>
                <w:sz w:val="16"/>
                <w:szCs w:val="16"/>
              </w:rPr>
              <w:t xml:space="preserve"> = 5 and</w:t>
            </w:r>
            <w:r>
              <w:rPr>
                <w:rFonts w:asciiTheme="minorEastAsia" w:eastAsiaTheme="minorEastAsia" w:hAnsiTheme="minorEastAsia" w:cs="+mn-cs" w:hint="eastAsia"/>
                <w:bCs/>
                <w:color w:val="000000"/>
                <w:kern w:val="24"/>
                <w:sz w:val="16"/>
                <w:szCs w:val="16"/>
              </w:rPr>
              <w:t xml:space="preserve"> </w:t>
            </w:r>
            <w:r w:rsidRPr="002E5BA2">
              <w:rPr>
                <w:rFonts w:eastAsiaTheme="minorEastAsia"/>
                <w:bCs/>
                <w:color w:val="000000"/>
                <w:kern w:val="24"/>
                <w:sz w:val="16"/>
                <w:szCs w:val="16"/>
              </w:rPr>
              <w:t>μ</w:t>
            </w:r>
            <w:r>
              <w:rPr>
                <w:rFonts w:eastAsiaTheme="minorEastAsia" w:hint="eastAsia"/>
                <w:bCs/>
                <w:color w:val="000000"/>
                <w:kern w:val="24"/>
                <w:sz w:val="16"/>
                <w:szCs w:val="16"/>
              </w:rPr>
              <w:t xml:space="preserve"> </w:t>
            </w:r>
            <w:r w:rsidRPr="002E5BA2">
              <w:rPr>
                <w:rFonts w:eastAsia="SimSun" w:cs="+mn-cs"/>
                <w:bCs/>
                <w:color w:val="000000"/>
                <w:kern w:val="24"/>
                <w:sz w:val="16"/>
                <w:szCs w:val="16"/>
              </w:rPr>
              <w:t>= 6</w:t>
            </w:r>
            <w:r>
              <w:rPr>
                <w:rFonts w:asciiTheme="minorEastAsia" w:eastAsiaTheme="minorEastAsia" w:hAnsiTheme="minorEastAsia" w:cs="+mn-cs" w:hint="eastAsia"/>
                <w:bCs/>
                <w:color w:val="000000"/>
                <w:kern w:val="24"/>
                <w:sz w:val="16"/>
                <w:szCs w:val="16"/>
              </w:rPr>
              <w:t xml:space="preserve"> </w:t>
            </w:r>
            <w:r w:rsidRPr="00D33774">
              <w:rPr>
                <w:rFonts w:eastAsiaTheme="minorEastAsia" w:cs="+mn-cs" w:hint="eastAsia"/>
                <w:bCs/>
                <w:color w:val="FF0000"/>
                <w:kern w:val="24"/>
                <w:sz w:val="16"/>
                <w:szCs w:val="16"/>
                <w:u w:val="single"/>
              </w:rPr>
              <w:t>o</w:t>
            </w:r>
            <w:r w:rsidRPr="00D33774">
              <w:rPr>
                <w:rFonts w:eastAsiaTheme="minorEastAsia" w:cs="+mn-cs"/>
                <w:bCs/>
                <w:color w:val="FF0000"/>
                <w:kern w:val="24"/>
                <w:sz w:val="16"/>
                <w:szCs w:val="16"/>
                <w:u w:val="single"/>
              </w:rPr>
              <w:t xml:space="preserve">r for the cases </w:t>
            </w:r>
            <w:r w:rsidR="00D33774" w:rsidRPr="00D33774">
              <w:rPr>
                <w:rFonts w:eastAsiaTheme="minorEastAsia" w:cs="+mn-cs"/>
                <w:bCs/>
                <w:color w:val="FF0000"/>
                <w:kern w:val="24"/>
                <w:sz w:val="16"/>
                <w:szCs w:val="16"/>
                <w:u w:val="single"/>
              </w:rPr>
              <w:t>of communications via satellite/HAPS or with ATG gNB</w:t>
            </w:r>
            <w:r w:rsidR="00B00CBF">
              <w:rPr>
                <w:rFonts w:eastAsiaTheme="minorEastAsia" w:cs="+mn-cs"/>
                <w:bCs/>
                <w:color w:val="FF0000"/>
                <w:kern w:val="24"/>
                <w:sz w:val="16"/>
                <w:szCs w:val="16"/>
                <w:u w:val="single"/>
              </w:rPr>
              <w:t xml:space="preserve"> as specified in [8, TS 38.101-</w:t>
            </w:r>
            <w:r w:rsidR="0057565D">
              <w:rPr>
                <w:rFonts w:eastAsiaTheme="minorEastAsia" w:cs="+mn-cs"/>
                <w:bCs/>
                <w:color w:val="FF0000"/>
                <w:kern w:val="24"/>
                <w:sz w:val="16"/>
                <w:szCs w:val="16"/>
                <w:u w:val="single"/>
              </w:rPr>
              <w:t>X</w:t>
            </w:r>
            <w:r w:rsidR="00B00CBF">
              <w:rPr>
                <w:rFonts w:eastAsiaTheme="minorEastAsia" w:cs="+mn-cs"/>
                <w:bCs/>
                <w:color w:val="FF0000"/>
                <w:kern w:val="24"/>
                <w:sz w:val="16"/>
                <w:szCs w:val="16"/>
                <w:u w:val="single"/>
              </w:rPr>
              <w:t>]</w:t>
            </w:r>
            <w:r w:rsidRPr="002E5BA2">
              <w:rPr>
                <w:rFonts w:eastAsia="SimSun" w:cs="+mn-cs"/>
                <w:color w:val="000000"/>
                <w:kern w:val="24"/>
                <w:sz w:val="16"/>
                <w:szCs w:val="16"/>
              </w:rPr>
              <w:t xml:space="preserve">. The number of processes the UE may assume will at most be used for the downlink is configured to the UE for each cell separately by higher layer parameter </w:t>
            </w:r>
            <w:r w:rsidRPr="002E5BA2">
              <w:rPr>
                <w:rFonts w:eastAsia="SimSun" w:cs="+mn-cs"/>
                <w:i/>
                <w:color w:val="000000"/>
                <w:kern w:val="24"/>
                <w:sz w:val="16"/>
                <w:szCs w:val="16"/>
              </w:rPr>
              <w:t>nrofHARQ-ProcessesForPDSCH</w:t>
            </w:r>
            <w:r w:rsidRPr="002E5BA2">
              <w:rPr>
                <w:rFonts w:eastAsia="SimSun" w:cs="+mn-cs"/>
                <w:color w:val="000000"/>
                <w:kern w:val="24"/>
                <w:sz w:val="16"/>
                <w:szCs w:val="16"/>
              </w:rPr>
              <w:t>, and when no configuration is provided the UE may assume a default number of 8 processes.</w:t>
            </w:r>
          </w:p>
          <w:p w14:paraId="4EE1A094" w14:textId="77777777" w:rsidR="00424C5B" w:rsidRDefault="00424C5B" w:rsidP="00424C5B">
            <w:pPr>
              <w:spacing w:after="0"/>
              <w:rPr>
                <w:rFonts w:eastAsia="SimSun" w:cs="+mn-cs"/>
                <w:color w:val="000000"/>
                <w:kern w:val="24"/>
                <w:sz w:val="16"/>
                <w:szCs w:val="16"/>
              </w:rPr>
            </w:pPr>
            <w:r w:rsidRPr="00EF6233">
              <w:rPr>
                <w:rFonts w:eastAsia="SimSun" w:cs="+mn-cs"/>
                <w:color w:val="000000"/>
                <w:kern w:val="24"/>
                <w:sz w:val="16"/>
                <w:szCs w:val="16"/>
              </w:rPr>
              <w:t>...</w:t>
            </w:r>
          </w:p>
          <w:p w14:paraId="40DA2582" w14:textId="77777777" w:rsidR="00424C5B" w:rsidRDefault="00424C5B" w:rsidP="00424C5B">
            <w:pPr>
              <w:spacing w:after="0"/>
              <w:rPr>
                <w:rFonts w:ascii="Calibri" w:eastAsia="メイリオ" w:hAnsi="Calibri" w:cs="+mn-cs"/>
                <w:b/>
                <w:bCs/>
                <w:color w:val="000000"/>
                <w:kern w:val="24"/>
                <w:sz w:val="16"/>
                <w:szCs w:val="16"/>
              </w:rPr>
            </w:pPr>
            <w:r w:rsidRPr="002E5BA2">
              <w:rPr>
                <w:rFonts w:ascii="Calibri" w:eastAsia="メイリオ" w:hAnsi="Calibri" w:cs="+mn-cs"/>
                <w:b/>
                <w:bCs/>
                <w:color w:val="000000"/>
                <w:kern w:val="24"/>
                <w:sz w:val="16"/>
                <w:szCs w:val="16"/>
              </w:rPr>
              <w:t>6.1</w:t>
            </w:r>
            <w:r w:rsidRPr="002E5BA2">
              <w:rPr>
                <w:rFonts w:ascii="Calibri" w:eastAsia="メイリオ" w:hAnsi="Calibri" w:cs="+mn-cs"/>
                <w:b/>
                <w:bCs/>
                <w:color w:val="000000"/>
                <w:kern w:val="24"/>
                <w:sz w:val="16"/>
                <w:szCs w:val="16"/>
              </w:rPr>
              <w:tab/>
              <w:t>UE procedure for transmitting the physical uplink shared channel</w:t>
            </w:r>
          </w:p>
          <w:p w14:paraId="0BDDBA9B" w14:textId="77777777" w:rsidR="00424C5B" w:rsidRDefault="00424C5B" w:rsidP="00424C5B">
            <w:pPr>
              <w:spacing w:after="0"/>
              <w:rPr>
                <w:rFonts w:eastAsia="SimSun" w:cs="+mn-cs"/>
                <w:color w:val="000000"/>
                <w:kern w:val="24"/>
                <w:sz w:val="16"/>
                <w:szCs w:val="16"/>
              </w:rPr>
            </w:pPr>
            <w:r w:rsidRPr="00EF6233">
              <w:rPr>
                <w:rFonts w:eastAsia="SimSun" w:cs="+mn-cs"/>
                <w:color w:val="000000"/>
                <w:kern w:val="24"/>
                <w:sz w:val="16"/>
                <w:szCs w:val="16"/>
              </w:rPr>
              <w:t>...</w:t>
            </w:r>
          </w:p>
          <w:p w14:paraId="203684EB" w14:textId="346BCE49" w:rsidR="002E5BA2" w:rsidRPr="002E5BA2" w:rsidRDefault="00424C5B" w:rsidP="00424C5B">
            <w:pPr>
              <w:spacing w:after="0"/>
              <w:rPr>
                <w:rFonts w:eastAsiaTheme="minorEastAsia" w:cs="+mn-cs"/>
                <w:color w:val="000000"/>
                <w:kern w:val="24"/>
                <w:sz w:val="16"/>
                <w:szCs w:val="16"/>
              </w:rPr>
            </w:pPr>
            <w:r w:rsidRPr="002E5BA2">
              <w:rPr>
                <w:rFonts w:eastAsiaTheme="minorEastAsia" w:cs="+mn-cs"/>
                <w:color w:val="000000"/>
                <w:kern w:val="24"/>
                <w:sz w:val="16"/>
                <w:szCs w:val="16"/>
              </w:rPr>
              <w:t xml:space="preserve">For uplink, 16 HARQ processes per cell are supported by the UE, or subject to UE capability, </w:t>
            </w:r>
            <w:r w:rsidRPr="002E5BA2">
              <w:rPr>
                <w:rFonts w:eastAsiaTheme="minorEastAsia" w:cs="+mn-cs"/>
                <w:bCs/>
                <w:color w:val="000000"/>
                <w:kern w:val="24"/>
                <w:sz w:val="16"/>
                <w:szCs w:val="16"/>
              </w:rPr>
              <w:t>a maximum of 32 HARQ processes per cell for the cases of</w:t>
            </w:r>
            <w:r>
              <w:rPr>
                <w:rFonts w:eastAsiaTheme="minorEastAsia" w:cs="+mn-cs" w:hint="eastAsia"/>
                <w:bCs/>
                <w:color w:val="000000"/>
                <w:kern w:val="24"/>
                <w:sz w:val="16"/>
                <w:szCs w:val="16"/>
              </w:rPr>
              <w:t xml:space="preserve"> </w:t>
            </w:r>
            <w:r w:rsidRPr="002E5BA2">
              <w:rPr>
                <w:rFonts w:eastAsiaTheme="minorEastAsia"/>
                <w:bCs/>
                <w:color w:val="000000"/>
                <w:kern w:val="24"/>
                <w:sz w:val="16"/>
                <w:szCs w:val="16"/>
              </w:rPr>
              <w:t>μ</w:t>
            </w:r>
            <w:r>
              <w:rPr>
                <w:rFonts w:eastAsiaTheme="minorEastAsia" w:hint="eastAsia"/>
                <w:bCs/>
                <w:color w:val="000000"/>
                <w:kern w:val="24"/>
                <w:sz w:val="16"/>
                <w:szCs w:val="16"/>
              </w:rPr>
              <w:t xml:space="preserve"> </w:t>
            </w:r>
            <w:r w:rsidRPr="002E5BA2">
              <w:rPr>
                <w:rFonts w:eastAsiaTheme="minorEastAsia" w:cs="+mn-cs"/>
                <w:bCs/>
                <w:color w:val="000000"/>
                <w:kern w:val="24"/>
                <w:sz w:val="16"/>
                <w:szCs w:val="16"/>
              </w:rPr>
              <w:t>= 5 or</w:t>
            </w:r>
            <w:r>
              <w:rPr>
                <w:rFonts w:eastAsiaTheme="minorEastAsia" w:cs="+mn-cs" w:hint="eastAsia"/>
                <w:bCs/>
                <w:color w:val="000000"/>
                <w:kern w:val="24"/>
                <w:sz w:val="16"/>
                <w:szCs w:val="16"/>
              </w:rPr>
              <w:t xml:space="preserve"> </w:t>
            </w:r>
            <w:r w:rsidRPr="002E5BA2">
              <w:rPr>
                <w:rFonts w:eastAsiaTheme="minorEastAsia"/>
                <w:bCs/>
                <w:color w:val="000000"/>
                <w:kern w:val="24"/>
                <w:sz w:val="16"/>
                <w:szCs w:val="16"/>
              </w:rPr>
              <w:t>μ</w:t>
            </w:r>
            <w:r>
              <w:rPr>
                <w:rFonts w:eastAsiaTheme="minorEastAsia" w:hint="eastAsia"/>
                <w:bCs/>
                <w:color w:val="000000"/>
                <w:kern w:val="24"/>
                <w:sz w:val="16"/>
                <w:szCs w:val="16"/>
              </w:rPr>
              <w:t xml:space="preserve"> </w:t>
            </w:r>
            <w:r w:rsidRPr="002E5BA2">
              <w:rPr>
                <w:rFonts w:eastAsiaTheme="minorEastAsia" w:cs="+mn-cs"/>
                <w:bCs/>
                <w:color w:val="000000"/>
                <w:kern w:val="24"/>
                <w:sz w:val="16"/>
                <w:szCs w:val="16"/>
              </w:rPr>
              <w:t>= 6</w:t>
            </w:r>
            <w:r w:rsidR="00D33774">
              <w:rPr>
                <w:rFonts w:eastAsiaTheme="minorEastAsia" w:cs="+mn-cs"/>
                <w:bCs/>
                <w:color w:val="000000"/>
                <w:kern w:val="24"/>
                <w:sz w:val="16"/>
                <w:szCs w:val="16"/>
              </w:rPr>
              <w:t xml:space="preserve"> </w:t>
            </w:r>
            <w:r w:rsidR="00D33774" w:rsidRPr="00D33774">
              <w:rPr>
                <w:rFonts w:eastAsiaTheme="minorEastAsia" w:cs="+mn-cs" w:hint="eastAsia"/>
                <w:bCs/>
                <w:color w:val="FF0000"/>
                <w:kern w:val="24"/>
                <w:sz w:val="16"/>
                <w:szCs w:val="16"/>
                <w:u w:val="single"/>
              </w:rPr>
              <w:t>o</w:t>
            </w:r>
            <w:r w:rsidR="00D33774" w:rsidRPr="00D33774">
              <w:rPr>
                <w:rFonts w:eastAsiaTheme="minorEastAsia" w:cs="+mn-cs"/>
                <w:bCs/>
                <w:color w:val="FF0000"/>
                <w:kern w:val="24"/>
                <w:sz w:val="16"/>
                <w:szCs w:val="16"/>
                <w:u w:val="single"/>
              </w:rPr>
              <w:t>r for the cases of communications via satellite/HAPS or with ATG gNB</w:t>
            </w:r>
            <w:r w:rsidR="00B00CBF">
              <w:rPr>
                <w:rFonts w:eastAsiaTheme="minorEastAsia" w:cs="+mn-cs"/>
                <w:bCs/>
                <w:color w:val="FF0000"/>
                <w:kern w:val="24"/>
                <w:sz w:val="16"/>
                <w:szCs w:val="16"/>
                <w:u w:val="single"/>
              </w:rPr>
              <w:t xml:space="preserve"> as specified in [8, TS 38.101-</w:t>
            </w:r>
            <w:r w:rsidR="0057565D">
              <w:rPr>
                <w:rFonts w:eastAsiaTheme="minorEastAsia" w:cs="+mn-cs"/>
                <w:bCs/>
                <w:color w:val="FF0000"/>
                <w:kern w:val="24"/>
                <w:sz w:val="16"/>
                <w:szCs w:val="16"/>
                <w:u w:val="single"/>
              </w:rPr>
              <w:t>X</w:t>
            </w:r>
            <w:r w:rsidR="00B00CBF">
              <w:rPr>
                <w:rFonts w:eastAsiaTheme="minorEastAsia" w:cs="+mn-cs"/>
                <w:bCs/>
                <w:color w:val="FF0000"/>
                <w:kern w:val="24"/>
                <w:sz w:val="16"/>
                <w:szCs w:val="16"/>
                <w:u w:val="single"/>
              </w:rPr>
              <w:t>]</w:t>
            </w:r>
            <w:r w:rsidRPr="002E5BA2">
              <w:rPr>
                <w:rFonts w:eastAsiaTheme="minorEastAsia" w:cs="+mn-cs"/>
                <w:color w:val="000000"/>
                <w:kern w:val="24"/>
                <w:sz w:val="16"/>
                <w:szCs w:val="16"/>
              </w:rPr>
              <w:t>.</w:t>
            </w:r>
          </w:p>
        </w:tc>
      </w:tr>
    </w:tbl>
    <w:p w14:paraId="4156485B" w14:textId="2622A340" w:rsidR="002E5BA2" w:rsidRDefault="002E5BA2" w:rsidP="007B7225">
      <w:pPr>
        <w:spacing w:beforeLines="50" w:before="120" w:afterLines="50" w:after="120"/>
        <w:jc w:val="both"/>
        <w:rPr>
          <w:rFonts w:eastAsiaTheme="minorEastAsia"/>
          <w:iCs/>
          <w:sz w:val="22"/>
          <w:lang w:val="en-US"/>
        </w:rPr>
      </w:pPr>
    </w:p>
    <w:p w14:paraId="19DDA013" w14:textId="77777777" w:rsidR="002E5BA2" w:rsidRPr="00A077A0" w:rsidRDefault="002E5BA2" w:rsidP="007B7225">
      <w:pPr>
        <w:spacing w:beforeLines="50" w:before="120" w:afterLines="50" w:after="120"/>
        <w:jc w:val="both"/>
        <w:rPr>
          <w:rFonts w:eastAsiaTheme="minorEastAsia"/>
          <w:iCs/>
          <w:sz w:val="22"/>
          <w:lang w:val="en-US"/>
        </w:rPr>
      </w:pPr>
    </w:p>
    <w:p w14:paraId="72F5D085" w14:textId="23B40FD2" w:rsidR="00D5166A" w:rsidRPr="00A077A0" w:rsidRDefault="00D5166A" w:rsidP="001A4CD7">
      <w:pPr>
        <w:pStyle w:val="1"/>
        <w:numPr>
          <w:ilvl w:val="0"/>
          <w:numId w:val="6"/>
        </w:numPr>
        <w:spacing w:after="120"/>
        <w:jc w:val="both"/>
        <w:rPr>
          <w:rFonts w:eastAsia="DengXian"/>
          <w:b/>
          <w:lang w:val="en-US" w:eastAsia="zh-CN"/>
        </w:rPr>
      </w:pPr>
      <w:r w:rsidRPr="00A077A0">
        <w:rPr>
          <w:rFonts w:eastAsia="DengXian"/>
          <w:b/>
          <w:lang w:val="en-US" w:eastAsia="zh-CN"/>
        </w:rPr>
        <w:t>Conclusion</w:t>
      </w:r>
    </w:p>
    <w:p w14:paraId="1D41E29A" w14:textId="379AD7C0" w:rsidR="00096E6F" w:rsidRPr="00A077A0" w:rsidRDefault="006E1683" w:rsidP="00B342A7">
      <w:pPr>
        <w:spacing w:after="120"/>
        <w:jc w:val="both"/>
        <w:rPr>
          <w:rFonts w:eastAsia="SimSun"/>
          <w:sz w:val="22"/>
          <w:szCs w:val="22"/>
          <w:lang w:val="en-US" w:eastAsia="zh-CN"/>
        </w:rPr>
      </w:pPr>
      <w:r w:rsidRPr="00A077A0">
        <w:rPr>
          <w:rFonts w:eastAsia="SimSun"/>
          <w:sz w:val="22"/>
          <w:szCs w:val="22"/>
          <w:lang w:val="en-US" w:eastAsia="zh-CN"/>
        </w:rPr>
        <w:t xml:space="preserve">In this contribution, we discussed </w:t>
      </w:r>
      <w:r w:rsidR="006D45E4" w:rsidRPr="00A077A0">
        <w:rPr>
          <w:rFonts w:eastAsiaTheme="minorEastAsia"/>
          <w:sz w:val="22"/>
          <w:lang w:val="en-US"/>
        </w:rPr>
        <w:t>HARQ enhancements on NR NTN</w:t>
      </w:r>
      <w:r w:rsidR="00382DD5" w:rsidRPr="00A077A0">
        <w:rPr>
          <w:rFonts w:eastAsia="SimSun"/>
          <w:sz w:val="22"/>
          <w:szCs w:val="22"/>
          <w:lang w:val="en-US" w:eastAsia="zh-CN"/>
        </w:rPr>
        <w:t xml:space="preserve">. </w:t>
      </w:r>
      <w:r w:rsidR="00681CF6" w:rsidRPr="00A077A0">
        <w:rPr>
          <w:rFonts w:eastAsia="SimSun"/>
          <w:sz w:val="22"/>
          <w:szCs w:val="22"/>
          <w:lang w:val="en-US" w:eastAsia="zh-CN"/>
        </w:rPr>
        <w:t>Observations/</w:t>
      </w:r>
      <w:r w:rsidR="00382DD5" w:rsidRPr="00A077A0">
        <w:rPr>
          <w:rFonts w:eastAsia="SimSun"/>
          <w:sz w:val="22"/>
          <w:szCs w:val="22"/>
          <w:lang w:val="en-US" w:eastAsia="zh-CN"/>
        </w:rPr>
        <w:t xml:space="preserve">Proposals are summarized as following: </w:t>
      </w:r>
    </w:p>
    <w:p w14:paraId="60646171" w14:textId="77777777" w:rsidR="00AE4FFF" w:rsidRPr="00A077A0" w:rsidRDefault="00AE4FFF" w:rsidP="00AE4FFF">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Observation </w:t>
      </w:r>
      <w:r>
        <w:rPr>
          <w:rFonts w:eastAsiaTheme="minorEastAsia"/>
          <w:b/>
          <w:sz w:val="22"/>
          <w:u w:val="single"/>
          <w:lang w:val="en-US"/>
        </w:rPr>
        <w:t>1</w:t>
      </w:r>
      <w:r w:rsidRPr="00A077A0">
        <w:rPr>
          <w:rFonts w:eastAsiaTheme="minorEastAsia"/>
          <w:b/>
          <w:sz w:val="22"/>
          <w:u w:val="single"/>
          <w:lang w:val="en-US"/>
        </w:rPr>
        <w:t>:</w:t>
      </w:r>
    </w:p>
    <w:p w14:paraId="05FB1029" w14:textId="77777777" w:rsidR="00AE4FFF" w:rsidRDefault="00AE4FFF" w:rsidP="00AE4FFF">
      <w:pPr>
        <w:numPr>
          <w:ilvl w:val="0"/>
          <w:numId w:val="18"/>
        </w:numPr>
        <w:spacing w:before="50" w:afterLines="50" w:after="120"/>
        <w:jc w:val="both"/>
        <w:rPr>
          <w:rFonts w:eastAsiaTheme="minorEastAsia"/>
          <w:i/>
          <w:sz w:val="22"/>
          <w:lang w:val="en-US"/>
        </w:rPr>
      </w:pPr>
      <w:r>
        <w:rPr>
          <w:rFonts w:eastAsiaTheme="minorEastAsia"/>
          <w:i/>
          <w:sz w:val="22"/>
          <w:lang w:val="en-US"/>
        </w:rPr>
        <w:t>An FFS in the agreement reached for HARQ feedback for SPS activation includes two issues mixedly. They should be discussed separately.</w:t>
      </w:r>
    </w:p>
    <w:p w14:paraId="6DFB42A4" w14:textId="77777777" w:rsidR="00AE4FFF" w:rsidRPr="00A077A0" w:rsidRDefault="00AE4FFF" w:rsidP="00AE4FFF">
      <w:pPr>
        <w:spacing w:before="50" w:afterLines="50" w:after="120"/>
        <w:jc w:val="both"/>
        <w:rPr>
          <w:rFonts w:eastAsiaTheme="minorEastAsia"/>
          <w:b/>
          <w:sz w:val="22"/>
          <w:u w:val="single"/>
          <w:lang w:val="en-US"/>
        </w:rPr>
      </w:pPr>
      <w:r>
        <w:rPr>
          <w:rFonts w:eastAsiaTheme="minorEastAsia"/>
          <w:b/>
          <w:sz w:val="22"/>
          <w:u w:val="single"/>
          <w:lang w:val="en-US"/>
        </w:rPr>
        <w:t>Proposal</w:t>
      </w:r>
      <w:r w:rsidRPr="00A077A0">
        <w:rPr>
          <w:rFonts w:eastAsiaTheme="minorEastAsia"/>
          <w:b/>
          <w:sz w:val="22"/>
          <w:u w:val="single"/>
          <w:lang w:val="en-US"/>
        </w:rPr>
        <w:t xml:space="preserve"> </w:t>
      </w:r>
      <w:r>
        <w:rPr>
          <w:rFonts w:eastAsiaTheme="minorEastAsia"/>
          <w:b/>
          <w:sz w:val="22"/>
          <w:u w:val="single"/>
          <w:lang w:val="en-US"/>
        </w:rPr>
        <w:t>1</w:t>
      </w:r>
      <w:r w:rsidRPr="00A077A0">
        <w:rPr>
          <w:rFonts w:eastAsiaTheme="minorEastAsia"/>
          <w:b/>
          <w:sz w:val="22"/>
          <w:u w:val="single"/>
          <w:lang w:val="en-US"/>
        </w:rPr>
        <w:t>:</w:t>
      </w:r>
    </w:p>
    <w:p w14:paraId="5B388550" w14:textId="77777777" w:rsidR="00AE4FFF" w:rsidRPr="00BD161C" w:rsidRDefault="00AE4FFF" w:rsidP="00AE4FFF">
      <w:pPr>
        <w:numPr>
          <w:ilvl w:val="0"/>
          <w:numId w:val="18"/>
        </w:numPr>
        <w:spacing w:before="50" w:afterLines="50" w:after="120"/>
        <w:jc w:val="both"/>
        <w:rPr>
          <w:rFonts w:eastAsiaTheme="minorEastAsia"/>
          <w:i/>
          <w:sz w:val="22"/>
          <w:lang w:val="en-US"/>
        </w:rPr>
      </w:pPr>
      <w:r>
        <w:rPr>
          <w:rFonts w:eastAsiaTheme="minorEastAsia" w:hint="eastAsia"/>
          <w:i/>
          <w:sz w:val="22"/>
          <w:lang w:val="en-US"/>
        </w:rPr>
        <w:t>W</w:t>
      </w:r>
      <w:r>
        <w:rPr>
          <w:rFonts w:eastAsiaTheme="minorEastAsia"/>
          <w:i/>
          <w:sz w:val="22"/>
          <w:lang w:val="en-US"/>
        </w:rPr>
        <w:t>hen RRC configuration of HARQ feedback for SPS activation is not enabled,</w:t>
      </w:r>
      <w:r>
        <w:rPr>
          <w:rFonts w:eastAsiaTheme="minorEastAsia" w:hint="eastAsia"/>
          <w:i/>
          <w:sz w:val="22"/>
          <w:lang w:val="en-US"/>
        </w:rPr>
        <w:t xml:space="preserve"> </w:t>
      </w:r>
      <w:r>
        <w:rPr>
          <w:rFonts w:eastAsiaTheme="minorEastAsia"/>
          <w:i/>
          <w:sz w:val="22"/>
          <w:lang w:val="en-US"/>
        </w:rPr>
        <w:t>UE follows feedback-enabling/disabling configuration corresponding to the initial SPS PDSCH after SPS activation.</w:t>
      </w:r>
    </w:p>
    <w:p w14:paraId="1FF09AAA" w14:textId="77777777" w:rsidR="00AE4FFF" w:rsidRPr="00A077A0" w:rsidRDefault="00AE4FFF" w:rsidP="00AE4FFF">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Observation </w:t>
      </w:r>
      <w:r>
        <w:rPr>
          <w:rFonts w:eastAsiaTheme="minorEastAsia"/>
          <w:b/>
          <w:sz w:val="22"/>
          <w:u w:val="single"/>
          <w:lang w:val="en-US"/>
        </w:rPr>
        <w:t>2</w:t>
      </w:r>
      <w:r w:rsidRPr="00A077A0">
        <w:rPr>
          <w:rFonts w:eastAsiaTheme="minorEastAsia"/>
          <w:b/>
          <w:sz w:val="22"/>
          <w:u w:val="single"/>
          <w:lang w:val="en-US"/>
        </w:rPr>
        <w:t>:</w:t>
      </w:r>
    </w:p>
    <w:p w14:paraId="6C6A21A1" w14:textId="77777777" w:rsidR="00AE4FFF" w:rsidRPr="00A077A0" w:rsidRDefault="00AE4FFF" w:rsidP="00AE4FFF">
      <w:pPr>
        <w:numPr>
          <w:ilvl w:val="0"/>
          <w:numId w:val="18"/>
        </w:numPr>
        <w:spacing w:before="50" w:afterLines="50" w:after="120"/>
        <w:jc w:val="both"/>
        <w:rPr>
          <w:rFonts w:eastAsiaTheme="minorEastAsia"/>
          <w:i/>
          <w:sz w:val="22"/>
          <w:lang w:val="en-US"/>
        </w:rPr>
      </w:pPr>
      <w:r w:rsidRPr="00A077A0">
        <w:rPr>
          <w:rFonts w:eastAsiaTheme="minorEastAsia"/>
          <w:i/>
          <w:sz w:val="22"/>
          <w:lang w:val="en-US"/>
        </w:rPr>
        <w:t>If feedback</w:t>
      </w:r>
      <w:r>
        <w:rPr>
          <w:rFonts w:eastAsiaTheme="minorEastAsia"/>
          <w:i/>
          <w:sz w:val="22"/>
          <w:lang w:val="en-US"/>
        </w:rPr>
        <w:t>-</w:t>
      </w:r>
      <w:r w:rsidRPr="00A077A0">
        <w:rPr>
          <w:rFonts w:eastAsiaTheme="minorEastAsia"/>
          <w:i/>
          <w:sz w:val="22"/>
          <w:lang w:val="en-US"/>
        </w:rPr>
        <w:t>enabling/disabling configuration per HARQ process is</w:t>
      </w:r>
      <w:r>
        <w:rPr>
          <w:rFonts w:eastAsiaTheme="minorEastAsia"/>
          <w:i/>
          <w:sz w:val="22"/>
          <w:lang w:val="en-US"/>
        </w:rPr>
        <w:t xml:space="preserve"> common between dynamic PDSCH and SPS PDSCH, </w:t>
      </w:r>
      <w:r w:rsidRPr="00A077A0">
        <w:rPr>
          <w:rFonts w:eastAsiaTheme="minorEastAsia"/>
          <w:i/>
          <w:sz w:val="22"/>
          <w:lang w:val="en-US"/>
        </w:rPr>
        <w:t>many HARQ processes w</w:t>
      </w:r>
      <w:r>
        <w:rPr>
          <w:rFonts w:eastAsiaTheme="minorEastAsia"/>
          <w:i/>
          <w:sz w:val="22"/>
          <w:lang w:val="en-US"/>
        </w:rPr>
        <w:t>ould be configured with enabled feedback so that enabled feedback</w:t>
      </w:r>
      <w:r w:rsidRPr="00A077A0">
        <w:rPr>
          <w:rFonts w:eastAsiaTheme="minorEastAsia"/>
          <w:i/>
          <w:sz w:val="22"/>
          <w:lang w:val="en-US"/>
        </w:rPr>
        <w:t xml:space="preserve"> is applied to all of the SPS receptions.</w:t>
      </w:r>
    </w:p>
    <w:p w14:paraId="3E990E55" w14:textId="77777777" w:rsidR="00AE4FFF" w:rsidRPr="00A077A0" w:rsidRDefault="00AE4FFF" w:rsidP="00AE4FFF">
      <w:pPr>
        <w:numPr>
          <w:ilvl w:val="1"/>
          <w:numId w:val="18"/>
        </w:numPr>
        <w:spacing w:before="50" w:afterLines="50" w:after="120"/>
        <w:jc w:val="both"/>
        <w:rPr>
          <w:rFonts w:eastAsiaTheme="minorEastAsia"/>
          <w:i/>
          <w:sz w:val="22"/>
          <w:lang w:val="en-US"/>
        </w:rPr>
      </w:pPr>
      <w:r w:rsidRPr="00A077A0">
        <w:rPr>
          <w:rFonts w:eastAsiaTheme="minorEastAsia"/>
          <w:i/>
          <w:sz w:val="22"/>
          <w:lang w:val="en-US"/>
        </w:rPr>
        <w:t>This aspect degrades flexibility of dynamic PDSCH scheduling with disabled feedback.</w:t>
      </w:r>
    </w:p>
    <w:p w14:paraId="10C79BA3" w14:textId="77777777" w:rsidR="00AE4FFF" w:rsidRPr="00A077A0" w:rsidRDefault="00AE4FFF" w:rsidP="00AE4FFF">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2</w:t>
      </w:r>
      <w:r w:rsidRPr="00A077A0">
        <w:rPr>
          <w:rFonts w:eastAsiaTheme="minorEastAsia"/>
          <w:b/>
          <w:sz w:val="22"/>
          <w:u w:val="single"/>
          <w:lang w:val="en-US"/>
        </w:rPr>
        <w:t>:</w:t>
      </w:r>
    </w:p>
    <w:p w14:paraId="54AA7E00" w14:textId="77777777" w:rsidR="00AE4FFF" w:rsidRPr="00A077A0" w:rsidRDefault="00AE4FFF" w:rsidP="00AE4FFF">
      <w:pPr>
        <w:numPr>
          <w:ilvl w:val="0"/>
          <w:numId w:val="18"/>
        </w:numPr>
        <w:spacing w:before="50" w:afterLines="50" w:after="120"/>
        <w:jc w:val="both"/>
        <w:rPr>
          <w:rFonts w:eastAsiaTheme="minorEastAsia"/>
          <w:i/>
          <w:sz w:val="22"/>
          <w:lang w:val="en-US"/>
        </w:rPr>
      </w:pPr>
      <w:r>
        <w:rPr>
          <w:rFonts w:eastAsiaTheme="minorEastAsia"/>
          <w:i/>
          <w:sz w:val="22"/>
          <w:lang w:val="en-US"/>
        </w:rPr>
        <w:t>Feedback-e</w:t>
      </w:r>
      <w:r w:rsidRPr="00A3692C">
        <w:rPr>
          <w:rFonts w:eastAsiaTheme="minorEastAsia"/>
          <w:i/>
          <w:sz w:val="22"/>
          <w:lang w:val="en-US"/>
        </w:rPr>
        <w:t xml:space="preserve">nabling/disabling </w:t>
      </w:r>
      <w:r>
        <w:rPr>
          <w:rFonts w:eastAsiaTheme="minorEastAsia"/>
          <w:i/>
          <w:sz w:val="22"/>
          <w:lang w:val="en-US"/>
        </w:rPr>
        <w:t>for SPS PDSCH is</w:t>
      </w:r>
      <w:r w:rsidRPr="00A3692C">
        <w:rPr>
          <w:rFonts w:eastAsiaTheme="minorEastAsia"/>
          <w:i/>
          <w:sz w:val="22"/>
          <w:lang w:val="en-US"/>
        </w:rPr>
        <w:t xml:space="preserve"> separately configured </w:t>
      </w:r>
      <w:r>
        <w:rPr>
          <w:rFonts w:eastAsiaTheme="minorEastAsia"/>
          <w:i/>
          <w:sz w:val="22"/>
          <w:lang w:val="en-US"/>
        </w:rPr>
        <w:t>from configuration for dynamically scheduled PDSCH.</w:t>
      </w:r>
    </w:p>
    <w:p w14:paraId="37E7EBBD" w14:textId="77777777" w:rsidR="00AE4FFF" w:rsidRPr="00A077A0" w:rsidRDefault="00AE4FFF" w:rsidP="00AE4FFF">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3</w:t>
      </w:r>
      <w:r w:rsidRPr="00A077A0">
        <w:rPr>
          <w:rFonts w:eastAsiaTheme="minorEastAsia"/>
          <w:b/>
          <w:sz w:val="22"/>
          <w:u w:val="single"/>
          <w:lang w:val="en-US"/>
        </w:rPr>
        <w:t>:</w:t>
      </w:r>
    </w:p>
    <w:p w14:paraId="574B8188" w14:textId="77777777" w:rsidR="00AE4FFF" w:rsidRPr="00A077A0" w:rsidRDefault="00AE4FFF" w:rsidP="00AE4FFF">
      <w:pPr>
        <w:numPr>
          <w:ilvl w:val="0"/>
          <w:numId w:val="18"/>
        </w:numPr>
        <w:spacing w:before="50" w:afterLines="50" w:after="120"/>
        <w:jc w:val="both"/>
        <w:rPr>
          <w:rFonts w:eastAsiaTheme="minorEastAsia"/>
          <w:i/>
          <w:sz w:val="22"/>
          <w:lang w:val="en-US"/>
        </w:rPr>
      </w:pPr>
      <w:r w:rsidRPr="00A077A0">
        <w:rPr>
          <w:rFonts w:eastAsiaTheme="minorEastAsia"/>
          <w:i/>
          <w:sz w:val="22"/>
          <w:lang w:val="en-US"/>
        </w:rPr>
        <w:t>Update the RAN1#105-e agreement</w:t>
      </w:r>
      <w:r>
        <w:rPr>
          <w:rFonts w:eastAsiaTheme="minorEastAsia"/>
          <w:i/>
          <w:sz w:val="22"/>
          <w:lang w:val="en-US"/>
        </w:rPr>
        <w:t xml:space="preserve"> and apply the following TP.</w:t>
      </w:r>
    </w:p>
    <w:p w14:paraId="06B53060" w14:textId="77777777" w:rsidR="00AE4FFF" w:rsidRPr="00A077A0" w:rsidRDefault="00AE4FFF" w:rsidP="00AE4FFF">
      <w:pPr>
        <w:numPr>
          <w:ilvl w:val="1"/>
          <w:numId w:val="18"/>
        </w:numPr>
        <w:spacing w:before="50" w:afterLines="50" w:after="120"/>
        <w:jc w:val="both"/>
        <w:rPr>
          <w:rFonts w:eastAsiaTheme="minorEastAsia"/>
          <w:i/>
          <w:sz w:val="22"/>
          <w:lang w:val="en-US"/>
        </w:rPr>
      </w:pPr>
      <w:r w:rsidRPr="00A077A0">
        <w:rPr>
          <w:rFonts w:eastAsiaTheme="minorEastAsia"/>
          <w:i/>
          <w:sz w:val="22"/>
          <w:lang w:val="en-US"/>
        </w:rPr>
        <w:t xml:space="preserve">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w:t>
      </w:r>
      <w:r w:rsidRPr="00A077A0">
        <w:rPr>
          <w:rFonts w:eastAsiaTheme="minorEastAsia"/>
          <w:i/>
          <w:color w:val="FF0000"/>
          <w:sz w:val="22"/>
          <w:u w:val="single"/>
          <w:lang w:val="en-US"/>
        </w:rPr>
        <w:t>or the PDSCH without corresponding PDCCH</w:t>
      </w:r>
      <w:r w:rsidRPr="00A077A0">
        <w:rPr>
          <w:rFonts w:eastAsiaTheme="minorEastAsia"/>
          <w:i/>
          <w:color w:val="FF0000"/>
          <w:sz w:val="22"/>
          <w:lang w:val="en-US"/>
        </w:rPr>
        <w:t xml:space="preserve"> </w:t>
      </w:r>
      <w:r w:rsidRPr="00A077A0">
        <w:rPr>
          <w:rFonts w:eastAsiaTheme="minorEastAsia"/>
          <w:i/>
          <w:sz w:val="22"/>
          <w:lang w:val="en-US"/>
        </w:rPr>
        <w:t>for the given HARQ process.</w:t>
      </w:r>
    </w:p>
    <w:tbl>
      <w:tblPr>
        <w:tblStyle w:val="afc"/>
        <w:tblW w:w="0" w:type="auto"/>
        <w:tblLook w:val="04A0" w:firstRow="1" w:lastRow="0" w:firstColumn="1" w:lastColumn="0" w:noHBand="0" w:noVBand="1"/>
      </w:tblPr>
      <w:tblGrid>
        <w:gridCol w:w="9962"/>
      </w:tblGrid>
      <w:tr w:rsidR="00AE4FFF" w14:paraId="701EF42E" w14:textId="77777777" w:rsidTr="00513CEB">
        <w:tc>
          <w:tcPr>
            <w:tcW w:w="9962" w:type="dxa"/>
          </w:tcPr>
          <w:p w14:paraId="700D90EA" w14:textId="77777777" w:rsidR="00AE4FFF" w:rsidRPr="00E80C9A" w:rsidRDefault="00AE4FFF" w:rsidP="00513CEB">
            <w:pPr>
              <w:spacing w:after="0"/>
              <w:rPr>
                <w:rFonts w:ascii="Times" w:eastAsia="Batang" w:hAnsi="Times"/>
                <w:color w:val="000000"/>
                <w:kern w:val="24"/>
                <w:sz w:val="16"/>
                <w:szCs w:val="16"/>
                <w:u w:val="single"/>
                <w:lang w:val="en-US"/>
              </w:rPr>
            </w:pPr>
            <w:r w:rsidRPr="00E80C9A">
              <w:rPr>
                <w:rFonts w:ascii="Times" w:eastAsia="Batang" w:hAnsi="Times"/>
                <w:color w:val="000000"/>
                <w:kern w:val="24"/>
                <w:sz w:val="16"/>
                <w:szCs w:val="16"/>
                <w:u w:val="single"/>
                <w:lang w:val="en-US"/>
              </w:rPr>
              <w:t>38.214 V17.0.0</w:t>
            </w:r>
          </w:p>
          <w:p w14:paraId="537D4A22" w14:textId="77777777" w:rsidR="00AE4FFF" w:rsidRPr="00E80C9A" w:rsidRDefault="00AE4FFF" w:rsidP="00513CEB">
            <w:pPr>
              <w:spacing w:after="0"/>
              <w:rPr>
                <w:rFonts w:ascii="Times" w:eastAsia="Batang" w:hAnsi="Times"/>
                <w:color w:val="000000"/>
                <w:kern w:val="24"/>
                <w:sz w:val="16"/>
                <w:szCs w:val="16"/>
                <w:lang w:val="en-US"/>
              </w:rPr>
            </w:pPr>
          </w:p>
          <w:p w14:paraId="0891CE33" w14:textId="77777777" w:rsidR="00AE4FFF" w:rsidRPr="00E80C9A" w:rsidRDefault="00AE4FFF" w:rsidP="00513CEB">
            <w:pPr>
              <w:spacing w:after="0"/>
              <w:rPr>
                <w:rFonts w:ascii="ＭＳ Ｐゴシック" w:eastAsia="ＭＳ Ｐゴシック" w:hAnsi="ＭＳ Ｐゴシック" w:cs="ＭＳ Ｐゴシック"/>
                <w:szCs w:val="24"/>
                <w:lang w:val="en-US"/>
              </w:rPr>
            </w:pPr>
            <w:r w:rsidRPr="00E80C9A">
              <w:rPr>
                <w:rFonts w:ascii="Calibri" w:eastAsia="メイリオ" w:hAnsi="Calibri" w:cs="+mn-cs"/>
                <w:b/>
                <w:bCs/>
                <w:color w:val="000000"/>
                <w:kern w:val="24"/>
                <w:sz w:val="16"/>
                <w:szCs w:val="16"/>
                <w:lang w:val="en-US"/>
              </w:rPr>
              <w:t>5.1</w:t>
            </w:r>
            <w:r w:rsidRPr="00E80C9A">
              <w:rPr>
                <w:rFonts w:ascii="Calibri" w:eastAsia="メイリオ" w:hAnsi="Calibri" w:cs="+mn-cs"/>
                <w:b/>
                <w:bCs/>
                <w:color w:val="000000"/>
                <w:kern w:val="24"/>
                <w:sz w:val="16"/>
                <w:szCs w:val="16"/>
                <w:lang w:val="en-US"/>
              </w:rPr>
              <w:tab/>
              <w:t>UE procedure for receiving the physical downlink shared channel</w:t>
            </w:r>
            <w:r w:rsidRPr="00E80C9A">
              <w:rPr>
                <w:rFonts w:ascii="Calibri" w:eastAsia="メイリオ" w:hAnsi="Calibri" w:cs="+mn-cs"/>
                <w:b/>
                <w:bCs/>
                <w:color w:val="000000"/>
                <w:kern w:val="24"/>
                <w:sz w:val="16"/>
                <w:szCs w:val="16"/>
              </w:rPr>
              <w:t xml:space="preserve"> </w:t>
            </w:r>
          </w:p>
          <w:p w14:paraId="5CA037D1" w14:textId="77777777" w:rsidR="00AE4FFF" w:rsidRPr="00E80C9A" w:rsidRDefault="00AE4FFF" w:rsidP="00513CEB">
            <w:pPr>
              <w:spacing w:after="0"/>
              <w:rPr>
                <w:rFonts w:ascii="ＭＳ Ｐゴシック" w:eastAsia="ＭＳ Ｐゴシック" w:hAnsi="ＭＳ Ｐゴシック" w:cs="ＭＳ Ｐゴシック"/>
                <w:szCs w:val="24"/>
                <w:lang w:val="en-US"/>
              </w:rPr>
            </w:pPr>
            <w:r w:rsidRPr="00E80C9A">
              <w:rPr>
                <w:rFonts w:eastAsia="SimSun" w:cs="+mn-cs"/>
                <w:color w:val="000000"/>
                <w:kern w:val="24"/>
                <w:sz w:val="16"/>
                <w:szCs w:val="16"/>
              </w:rPr>
              <w:t>...</w:t>
            </w:r>
          </w:p>
          <w:p w14:paraId="098A3D19" w14:textId="77777777" w:rsidR="00AE4FFF" w:rsidRPr="00E80C9A" w:rsidRDefault="00AE4FFF" w:rsidP="00513CEB">
            <w:pPr>
              <w:spacing w:after="0"/>
              <w:rPr>
                <w:rFonts w:ascii="ＭＳ Ｐゴシック" w:eastAsia="ＭＳ Ｐゴシック" w:hAnsi="ＭＳ Ｐゴシック" w:cs="ＭＳ Ｐゴシック"/>
                <w:szCs w:val="24"/>
                <w:lang w:val="en-US"/>
              </w:rPr>
            </w:pPr>
            <w:r w:rsidRPr="00E80C9A">
              <w:rPr>
                <w:rFonts w:eastAsia="SimSun" w:cs="+mn-cs"/>
                <w:color w:val="000000"/>
                <w:kern w:val="24"/>
                <w:sz w:val="16"/>
                <w:szCs w:val="16"/>
              </w:rPr>
              <w:lastRenderedPageBreak/>
              <w:t xml:space="preserve">... </w:t>
            </w:r>
            <w:r w:rsidRPr="00E80C9A">
              <w:rPr>
                <w:rFonts w:eastAsia="DengXian" w:cs="+mn-cs"/>
                <w:color w:val="000000"/>
                <w:kern w:val="24"/>
                <w:sz w:val="16"/>
                <w:szCs w:val="16"/>
              </w:rPr>
              <w:t xml:space="preserve">When HARQ feedback for the HARQ process ID is not disabled, </w:t>
            </w:r>
            <w:r w:rsidRPr="00E80C9A">
              <w:rPr>
                <w:rFonts w:eastAsia="SimSun" w:cs="+mn-cs"/>
                <w:color w:val="000000"/>
                <w:kern w:val="24"/>
                <w:sz w:val="16"/>
                <w:szCs w:val="16"/>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t>
            </w:r>
            <w:r w:rsidRPr="00E80C9A">
              <w:rPr>
                <w:rFonts w:eastAsia="SimSun" w:cs="+mn-cs"/>
                <w:kern w:val="24"/>
                <w:sz w:val="16"/>
                <w:szCs w:val="16"/>
              </w:rPr>
              <w:t xml:space="preserve">When </w:t>
            </w:r>
            <w:r w:rsidRPr="00E80C9A">
              <w:rPr>
                <w:rFonts w:eastAsia="DengXian" w:cs="+mn-cs"/>
                <w:kern w:val="24"/>
                <w:sz w:val="16"/>
                <w:szCs w:val="16"/>
              </w:rPr>
              <w:t>HARQ feedback for the HARQ process ID is disabled, the UE is not expected to receive another PDCCH carrying a DCI scheduling a PDSCH or set of slot-aggregated PDSCH scheduled for the given HARQ process</w:t>
            </w:r>
            <w:r>
              <w:rPr>
                <w:rFonts w:eastAsia="DengXian" w:cs="+mn-cs"/>
                <w:kern w:val="24"/>
                <w:sz w:val="16"/>
                <w:szCs w:val="16"/>
              </w:rPr>
              <w:t xml:space="preserve"> </w:t>
            </w:r>
            <w:r w:rsidRPr="00062A92">
              <w:rPr>
                <w:rFonts w:eastAsia="DengXian" w:cs="+mn-cs"/>
                <w:color w:val="FF0000"/>
                <w:kern w:val="24"/>
                <w:sz w:val="16"/>
                <w:szCs w:val="16"/>
                <w:u w:val="single"/>
              </w:rPr>
              <w:t>or to receive another PDSCH without corresponding PDCCH scheduled for the given HARQ process</w:t>
            </w:r>
            <w:r w:rsidRPr="00062A92">
              <w:rPr>
                <w:rFonts w:eastAsia="DengXian" w:cs="+mn-cs"/>
                <w:kern w:val="24"/>
                <w:sz w:val="16"/>
                <w:szCs w:val="16"/>
              </w:rPr>
              <w:t xml:space="preserve"> </w:t>
            </w:r>
            <w:r w:rsidRPr="00E80C9A">
              <w:rPr>
                <w:rFonts w:eastAsia="DengXian" w:cs="+mn-cs"/>
                <w:kern w:val="24"/>
                <w:sz w:val="16"/>
                <w:szCs w:val="16"/>
              </w:rPr>
              <w:t xml:space="preserve">that starts until </w:t>
            </w:r>
            <w:r w:rsidRPr="00E80C9A">
              <w:rPr>
                <w:rFonts w:eastAsia="SimSun" w:cs="+mn-cs"/>
                <w:kern w:val="24"/>
                <w:sz w:val="16"/>
                <w:szCs w:val="16"/>
              </w:rPr>
              <w:t>T</w:t>
            </w:r>
            <w:r w:rsidRPr="00E80C9A">
              <w:rPr>
                <w:rFonts w:eastAsia="SimSun" w:cs="+mn-cs"/>
                <w:kern w:val="24"/>
                <w:position w:val="-4"/>
                <w:sz w:val="16"/>
                <w:szCs w:val="16"/>
                <w:vertAlign w:val="subscript"/>
              </w:rPr>
              <w:t>proc,1</w:t>
            </w:r>
            <w:r w:rsidRPr="00E80C9A">
              <w:rPr>
                <w:rFonts w:eastAsia="SimSun" w:cs="+mn-cs"/>
                <w:kern w:val="24"/>
                <w:sz w:val="16"/>
                <w:szCs w:val="16"/>
              </w:rPr>
              <w:t xml:space="preserve"> after the end of the reception of the last PDSCH or slot-aggregated PDSCH for that HARQ process. </w:t>
            </w:r>
            <w:r w:rsidRPr="00E80C9A">
              <w:rPr>
                <w:rFonts w:eastAsia="SimSun" w:cs="+mn-cs"/>
                <w:color w:val="000000"/>
                <w:kern w:val="24"/>
                <w:sz w:val="16"/>
                <w:szCs w:val="16"/>
              </w:rPr>
              <w:t>...</w:t>
            </w:r>
          </w:p>
          <w:p w14:paraId="17569857" w14:textId="77777777" w:rsidR="00AE4FFF" w:rsidRPr="00E80C9A" w:rsidRDefault="00AE4FFF" w:rsidP="00513CEB">
            <w:pPr>
              <w:spacing w:after="0"/>
              <w:rPr>
                <w:rFonts w:ascii="ＭＳ Ｐゴシック" w:eastAsia="ＭＳ Ｐゴシック" w:hAnsi="ＭＳ Ｐゴシック" w:cs="ＭＳ Ｐゴシック"/>
                <w:szCs w:val="24"/>
                <w:lang w:val="en-US"/>
              </w:rPr>
            </w:pPr>
            <w:r w:rsidRPr="00E80C9A">
              <w:rPr>
                <w:rFonts w:eastAsia="SimSun" w:cs="+mn-cs"/>
                <w:color w:val="000000"/>
                <w:kern w:val="24"/>
                <w:sz w:val="16"/>
                <w:szCs w:val="16"/>
              </w:rPr>
              <w:t>...</w:t>
            </w:r>
          </w:p>
        </w:tc>
      </w:tr>
    </w:tbl>
    <w:p w14:paraId="1AE41245" w14:textId="77777777" w:rsidR="00AE4FFF" w:rsidRPr="00A077A0" w:rsidRDefault="00AE4FFF" w:rsidP="00AE4FFF">
      <w:pPr>
        <w:spacing w:before="50" w:afterLines="50" w:after="120"/>
        <w:jc w:val="both"/>
        <w:rPr>
          <w:rFonts w:eastAsiaTheme="minorEastAsia"/>
          <w:b/>
          <w:sz w:val="22"/>
          <w:u w:val="single"/>
          <w:lang w:val="en-US"/>
        </w:rPr>
      </w:pPr>
      <w:r w:rsidRPr="00A077A0">
        <w:rPr>
          <w:rFonts w:eastAsiaTheme="minorEastAsia"/>
          <w:b/>
          <w:sz w:val="22"/>
          <w:u w:val="single"/>
          <w:lang w:val="en-US"/>
        </w:rPr>
        <w:lastRenderedPageBreak/>
        <w:t xml:space="preserve">Proposal </w:t>
      </w:r>
      <w:r>
        <w:rPr>
          <w:rFonts w:eastAsiaTheme="minorEastAsia"/>
          <w:b/>
          <w:sz w:val="22"/>
          <w:u w:val="single"/>
          <w:lang w:val="en-US"/>
        </w:rPr>
        <w:t>4</w:t>
      </w:r>
      <w:r w:rsidRPr="00A077A0">
        <w:rPr>
          <w:rFonts w:eastAsiaTheme="minorEastAsia"/>
          <w:b/>
          <w:sz w:val="22"/>
          <w:u w:val="single"/>
          <w:lang w:val="en-US"/>
        </w:rPr>
        <w:t>:</w:t>
      </w:r>
    </w:p>
    <w:p w14:paraId="3A9D92D2" w14:textId="77777777" w:rsidR="00AE4FFF" w:rsidRDefault="00AE4FFF" w:rsidP="00AE4FFF">
      <w:pPr>
        <w:numPr>
          <w:ilvl w:val="0"/>
          <w:numId w:val="18"/>
        </w:numPr>
        <w:spacing w:before="50" w:afterLines="50" w:after="120"/>
        <w:jc w:val="both"/>
        <w:rPr>
          <w:rFonts w:eastAsiaTheme="minorEastAsia"/>
          <w:i/>
          <w:sz w:val="22"/>
          <w:lang w:val="en-US"/>
        </w:rPr>
      </w:pPr>
      <w:r w:rsidRPr="007D74D6">
        <w:rPr>
          <w:rFonts w:eastAsiaTheme="minorEastAsia"/>
          <w:i/>
          <w:sz w:val="22"/>
        </w:rPr>
        <w:t>Confirm that DAI in a DCI with disabled feedback is ignored, and apply the following TP</w:t>
      </w:r>
      <w:r>
        <w:rPr>
          <w:rFonts w:eastAsiaTheme="minorEastAsia"/>
          <w:i/>
          <w:sz w:val="22"/>
        </w:rPr>
        <w:t>.</w:t>
      </w:r>
    </w:p>
    <w:tbl>
      <w:tblPr>
        <w:tblStyle w:val="afc"/>
        <w:tblW w:w="0" w:type="auto"/>
        <w:tblLook w:val="04A0" w:firstRow="1" w:lastRow="0" w:firstColumn="1" w:lastColumn="0" w:noHBand="0" w:noVBand="1"/>
      </w:tblPr>
      <w:tblGrid>
        <w:gridCol w:w="9962"/>
      </w:tblGrid>
      <w:tr w:rsidR="00AE4FFF" w:rsidRPr="00284247" w14:paraId="13CBB894" w14:textId="77777777" w:rsidTr="00513CEB">
        <w:tc>
          <w:tcPr>
            <w:tcW w:w="9962" w:type="dxa"/>
          </w:tcPr>
          <w:p w14:paraId="4A164D24" w14:textId="77777777" w:rsidR="00AE4FFF" w:rsidRPr="00EF6233" w:rsidRDefault="00AE4FFF" w:rsidP="00513CEB">
            <w:pPr>
              <w:spacing w:after="0"/>
              <w:rPr>
                <w:rFonts w:eastAsia="SimSun" w:cs="+mn-cs"/>
                <w:color w:val="000000"/>
                <w:kern w:val="24"/>
                <w:sz w:val="16"/>
                <w:szCs w:val="16"/>
                <w:u w:val="single"/>
              </w:rPr>
            </w:pPr>
            <w:r w:rsidRPr="00EF6233">
              <w:rPr>
                <w:rFonts w:eastAsia="SimSun" w:cs="+mn-cs"/>
                <w:color w:val="000000"/>
                <w:kern w:val="24"/>
                <w:sz w:val="16"/>
                <w:szCs w:val="16"/>
                <w:u w:val="single"/>
              </w:rPr>
              <w:t>38.213 V17.0.0</w:t>
            </w:r>
          </w:p>
          <w:p w14:paraId="549A4986" w14:textId="77777777" w:rsidR="00AE4FFF" w:rsidRPr="00EF6233" w:rsidRDefault="00AE4FFF" w:rsidP="00513CEB">
            <w:pPr>
              <w:spacing w:after="0"/>
              <w:rPr>
                <w:rFonts w:eastAsia="SimSun" w:cs="+mn-cs"/>
                <w:color w:val="000000"/>
                <w:kern w:val="24"/>
                <w:sz w:val="16"/>
                <w:szCs w:val="16"/>
              </w:rPr>
            </w:pPr>
          </w:p>
          <w:p w14:paraId="3E0385A7" w14:textId="77777777" w:rsidR="00AE4FFF" w:rsidRPr="00EF6233" w:rsidRDefault="00AE4FFF" w:rsidP="00513CEB">
            <w:pPr>
              <w:spacing w:after="0"/>
              <w:rPr>
                <w:rFonts w:ascii="ＭＳ Ｐゴシック" w:eastAsia="ＭＳ Ｐゴシック" w:hAnsi="ＭＳ Ｐゴシック" w:cs="ＭＳ Ｐゴシック"/>
                <w:szCs w:val="24"/>
                <w:lang w:val="en-US"/>
              </w:rPr>
            </w:pPr>
            <w:r w:rsidRPr="00EF6233">
              <w:rPr>
                <w:rFonts w:ascii="Calibri" w:eastAsia="メイリオ" w:hAnsi="Calibri" w:cs="+mn-cs"/>
                <w:b/>
                <w:bCs/>
                <w:color w:val="000000"/>
                <w:kern w:val="24"/>
                <w:sz w:val="16"/>
                <w:szCs w:val="16"/>
              </w:rPr>
              <w:t>9.1.3</w:t>
            </w:r>
            <w:r w:rsidRPr="00EF6233">
              <w:rPr>
                <w:rFonts w:ascii="Calibri" w:eastAsia="メイリオ" w:hAnsi="Calibri" w:cs="+mn-cs"/>
                <w:b/>
                <w:bCs/>
                <w:color w:val="000000"/>
                <w:kern w:val="24"/>
                <w:sz w:val="16"/>
                <w:szCs w:val="16"/>
              </w:rPr>
              <w:tab/>
              <w:t xml:space="preserve">Type-2 HARQ-ACK codebook determination </w:t>
            </w:r>
          </w:p>
          <w:p w14:paraId="282B27B1" w14:textId="77777777" w:rsidR="00AE4FFF" w:rsidRPr="00EF6233" w:rsidRDefault="00AE4FFF" w:rsidP="00513CEB">
            <w:pPr>
              <w:spacing w:after="0"/>
              <w:rPr>
                <w:rFonts w:ascii="ＭＳ Ｐゴシック" w:eastAsia="ＭＳ Ｐゴシック" w:hAnsi="ＭＳ Ｐゴシック" w:cs="ＭＳ Ｐゴシック"/>
                <w:szCs w:val="24"/>
                <w:lang w:val="en-US"/>
              </w:rPr>
            </w:pPr>
            <w:r w:rsidRPr="00EF6233">
              <w:rPr>
                <w:rFonts w:eastAsia="SimSun" w:cs="+mn-cs"/>
                <w:color w:val="000000"/>
                <w:kern w:val="24"/>
                <w:sz w:val="16"/>
                <w:szCs w:val="16"/>
              </w:rPr>
              <w:t>...</w:t>
            </w:r>
          </w:p>
          <w:p w14:paraId="1A9E8AD8" w14:textId="77777777" w:rsidR="00AE4FFF" w:rsidRPr="00EF6233" w:rsidRDefault="00AE4FFF" w:rsidP="00513CEB">
            <w:pPr>
              <w:spacing w:after="0"/>
              <w:rPr>
                <w:rFonts w:ascii="ＭＳ Ｐゴシック" w:eastAsia="ＭＳ Ｐゴシック" w:hAnsi="ＭＳ Ｐゴシック" w:cs="ＭＳ Ｐゴシック"/>
                <w:szCs w:val="24"/>
                <w:lang w:val="en-US"/>
              </w:rPr>
            </w:pPr>
            <w:r w:rsidRPr="00EF6233">
              <w:rPr>
                <w:rFonts w:eastAsia="SimSun" w:cs="+mn-cs"/>
                <w:color w:val="000000"/>
                <w:kern w:val="24"/>
                <w:sz w:val="16"/>
                <w:szCs w:val="16"/>
              </w:rPr>
              <w:t xml:space="preserve">If a UE is provided </w:t>
            </w:r>
            <w:r w:rsidRPr="00EF6233">
              <w:rPr>
                <w:rFonts w:eastAsia="SimSun" w:cs="+mn-cs"/>
                <w:i/>
                <w:iCs/>
                <w:color w:val="000000"/>
                <w:kern w:val="24"/>
                <w:sz w:val="16"/>
                <w:szCs w:val="16"/>
              </w:rPr>
              <w:t>HARQ-feedbackEnabling-disablingperHARQprocess</w:t>
            </w:r>
            <w:r w:rsidRPr="00EF6233">
              <w:rPr>
                <w:rFonts w:eastAsia="SimSun" w:cs="+mn-cs"/>
                <w:color w:val="000000"/>
                <w:kern w:val="24"/>
                <w:sz w:val="16"/>
                <w:szCs w:val="16"/>
              </w:rPr>
              <w:t xml:space="preserve"> indicating disabled HARQ-ACK information for a HARQ process associated with a transport block in </w:t>
            </w:r>
            <w:r w:rsidRPr="00EF6233">
              <w:rPr>
                <w:rFonts w:eastAsia="SimSun" w:cs="+mn-cs"/>
                <w:color w:val="000000"/>
                <w:kern w:val="24"/>
                <w:sz w:val="16"/>
                <w:szCs w:val="16"/>
                <w:lang w:val="en-US"/>
              </w:rPr>
              <w:t>PDSCH reception</w:t>
            </w:r>
            <w:r w:rsidRPr="00EF6233">
              <w:rPr>
                <w:rFonts w:eastAsia="SimSun" w:cs="+mn-cs"/>
                <w:color w:val="000000"/>
                <w:kern w:val="24"/>
                <w:sz w:val="16"/>
                <w:szCs w:val="16"/>
              </w:rPr>
              <w:t xml:space="preserve"> occasion </w:t>
            </w:r>
            <m:oMath>
              <m:r>
                <w:rPr>
                  <w:rFonts w:ascii="Cambria Math" w:eastAsia="SimSun" w:hAnsi="Cambria Math" w:cs="+mn-cs"/>
                  <w:color w:val="000000"/>
                  <w:kern w:val="24"/>
                  <w:sz w:val="16"/>
                  <w:szCs w:val="16"/>
                  <w:lang w:val="en-US"/>
                </w:rPr>
                <m:t>m</m:t>
              </m:r>
            </m:oMath>
            <w:r w:rsidRPr="00EF6233">
              <w:rPr>
                <w:rFonts w:eastAsia="SimSun" w:cs="+mn-cs"/>
                <w:color w:val="000000"/>
                <w:kern w:val="24"/>
                <w:sz w:val="16"/>
                <w:szCs w:val="16"/>
                <w:lang w:val="en-US"/>
              </w:rPr>
              <w:t xml:space="preserve"> on serving cell </w:t>
            </w:r>
            <m:oMath>
              <m:r>
                <w:rPr>
                  <w:rFonts w:ascii="Cambria Math" w:eastAsia="SimSun" w:hAnsi="Cambria Math" w:cs="+mn-cs"/>
                  <w:color w:val="000000"/>
                  <w:kern w:val="24"/>
                  <w:sz w:val="16"/>
                  <w:szCs w:val="16"/>
                  <w:lang w:val="en-US"/>
                </w:rPr>
                <m:t>c</m:t>
              </m:r>
            </m:oMath>
            <w:r w:rsidRPr="00EF6233">
              <w:rPr>
                <w:rFonts w:eastAsia="SimSun" w:cs="+mn-cs"/>
                <w:color w:val="000000"/>
                <w:kern w:val="24"/>
                <w:sz w:val="16"/>
                <w:szCs w:val="16"/>
              </w:rPr>
              <w:t>, the UE does not multiplex a HARQ-ACK information bit corresponding to the transport block in a Type-2 HARQ-ACK codebook</w:t>
            </w:r>
            <w:r w:rsidRPr="00EF6233">
              <w:rPr>
                <w:rFonts w:eastAsia="SimSun" w:cs="+mn-cs"/>
                <w:kern w:val="24"/>
                <w:sz w:val="16"/>
                <w:szCs w:val="16"/>
              </w:rPr>
              <w:t xml:space="preserve"> and does not consider the transport block</w:t>
            </w:r>
            <w:r>
              <w:rPr>
                <w:rFonts w:eastAsia="SimSun" w:cs="+mn-cs"/>
                <w:kern w:val="24"/>
                <w:sz w:val="16"/>
                <w:szCs w:val="16"/>
              </w:rPr>
              <w:t xml:space="preserve"> </w:t>
            </w:r>
            <w:r w:rsidRPr="00F63BA1">
              <w:rPr>
                <w:rFonts w:eastAsia="SimSun" w:cs="+mn-cs"/>
                <w:color w:val="FF0000"/>
                <w:kern w:val="24"/>
                <w:sz w:val="16"/>
                <w:szCs w:val="16"/>
                <w:u w:val="single"/>
              </w:rPr>
              <w:t>and the corresponding PDCCH, if any,</w:t>
            </w:r>
            <w:r w:rsidRPr="00EF6233">
              <w:rPr>
                <w:rFonts w:eastAsia="SimSun" w:cs="+mn-cs"/>
                <w:kern w:val="24"/>
                <w:sz w:val="16"/>
                <w:szCs w:val="16"/>
              </w:rPr>
              <w:t xml:space="preserve"> as received in the determination of </w:t>
            </w:r>
            <m:oMath>
              <m:sSubSup>
                <m:sSubSupPr>
                  <m:ctrlPr>
                    <w:rPr>
                      <w:rFonts w:ascii="Cambria Math" w:eastAsia="SimSun" w:hAnsi="Cambria Math" w:cs="+mn-cs"/>
                      <w:i/>
                      <w:iCs/>
                      <w:kern w:val="24"/>
                      <w:sz w:val="16"/>
                      <w:szCs w:val="16"/>
                      <w:lang w:val="en-US"/>
                    </w:rPr>
                  </m:ctrlPr>
                </m:sSubSupPr>
                <m:e>
                  <m:r>
                    <w:rPr>
                      <w:rFonts w:ascii="Cambria Math" w:eastAsia="SimSun" w:hAnsi="Cambria Math" w:cs="+mn-cs"/>
                      <w:kern w:val="24"/>
                      <w:sz w:val="16"/>
                      <w:szCs w:val="16"/>
                    </w:rPr>
                    <m:t>N</m:t>
                  </m:r>
                </m:e>
                <m:sub>
                  <m:r>
                    <w:rPr>
                      <w:rFonts w:ascii="Cambria Math" w:eastAsia="SimSun" w:hAnsi="Cambria Math" w:cs="+mn-cs"/>
                      <w:kern w:val="24"/>
                      <w:sz w:val="16"/>
                      <w:szCs w:val="16"/>
                    </w:rPr>
                    <m:t>m,c</m:t>
                  </m:r>
                </m:sub>
                <m:sup>
                  <m:r>
                    <m:rPr>
                      <m:sty m:val="p"/>
                    </m:rPr>
                    <w:rPr>
                      <w:rFonts w:ascii="Cambria Math" w:eastAsia="SimSun" w:hAnsi="Cambria Math" w:cs="+mn-cs"/>
                      <w:kern w:val="24"/>
                      <w:sz w:val="16"/>
                      <w:szCs w:val="16"/>
                    </w:rPr>
                    <m:t>received</m:t>
                  </m:r>
                </m:sup>
              </m:sSubSup>
            </m:oMath>
            <w:r w:rsidRPr="00EF6233">
              <w:rPr>
                <w:rFonts w:eastAsia="SimSun" w:cs="+mn-cs"/>
                <w:kern w:val="24"/>
                <w:sz w:val="16"/>
                <w:szCs w:val="16"/>
              </w:rPr>
              <w:t xml:space="preserve"> or of </w:t>
            </w:r>
            <m:oMath>
              <m:sSub>
                <m:sSubPr>
                  <m:ctrlPr>
                    <w:rPr>
                      <w:rFonts w:ascii="Cambria Math" w:eastAsia="SimSun" w:hAnsi="Cambria Math" w:cs="+mn-cs"/>
                      <w:i/>
                      <w:iCs/>
                      <w:kern w:val="24"/>
                      <w:sz w:val="16"/>
                      <w:szCs w:val="16"/>
                      <w:lang w:val="en-US"/>
                    </w:rPr>
                  </m:ctrlPr>
                </m:sSubPr>
                <m:e>
                  <m:r>
                    <w:rPr>
                      <w:rFonts w:ascii="Cambria Math" w:eastAsia="SimSun" w:hAnsi="Cambria Math" w:cs="+mn-cs"/>
                      <w:kern w:val="24"/>
                      <w:sz w:val="16"/>
                      <w:szCs w:val="16"/>
                    </w:rPr>
                    <m:t>N</m:t>
                  </m:r>
                </m:e>
                <m:sub>
                  <m:r>
                    <m:rPr>
                      <m:nor/>
                    </m:rPr>
                    <w:rPr>
                      <w:rFonts w:ascii="Cambria Math" w:eastAsia="SimSun" w:hAnsi="Cambria Math" w:cs="+mn-cs"/>
                      <w:kern w:val="24"/>
                      <w:sz w:val="16"/>
                      <w:szCs w:val="16"/>
                      <w:lang w:val="en-US"/>
                    </w:rPr>
                    <m:t>SPS,</m:t>
                  </m:r>
                  <m:r>
                    <m:rPr>
                      <m:nor/>
                    </m:rPr>
                    <w:rPr>
                      <w:rFonts w:ascii="Cambria Math" w:eastAsia="SimSun" w:hAnsi="Cambria Math" w:cs="+mn-cs"/>
                      <w:i/>
                      <w:iCs/>
                      <w:kern w:val="24"/>
                      <w:sz w:val="16"/>
                      <w:szCs w:val="16"/>
                      <w:lang w:val="en-US"/>
                    </w:rPr>
                    <m:t>c</m:t>
                  </m:r>
                </m:sub>
              </m:sSub>
            </m:oMath>
            <w:r w:rsidRPr="00EF6233">
              <w:rPr>
                <w:rFonts w:eastAsia="SimSun" w:cs="+mn-cs"/>
                <w:kern w:val="24"/>
                <w:sz w:val="16"/>
                <w:szCs w:val="16"/>
              </w:rPr>
              <w:t xml:space="preserve"> in clause 9.1.3.1. If the UE is also provided </w:t>
            </w:r>
            <w:r w:rsidRPr="00EF6233">
              <w:rPr>
                <w:rFonts w:eastAsia="SimSun" w:cs="+mn-cs"/>
                <w:i/>
                <w:iCs/>
                <w:kern w:val="24"/>
                <w:sz w:val="16"/>
                <w:szCs w:val="16"/>
              </w:rPr>
              <w:t>PDSCH-CodeBlockGroupTransmission</w:t>
            </w:r>
            <w:r w:rsidRPr="00EF6233">
              <w:rPr>
                <w:rFonts w:eastAsia="SimSun" w:cs="+mn-cs"/>
                <w:kern w:val="24"/>
                <w:sz w:val="16"/>
                <w:szCs w:val="16"/>
              </w:rPr>
              <w:t xml:space="preserve">, the UE does not multiplex HARQ-ACK information bits corresponding to CBGs of the transport block in the Type-2 HARQ-ACK codebook and does not consider the CBGs </w:t>
            </w:r>
            <w:r w:rsidRPr="00F63BA1">
              <w:rPr>
                <w:rFonts w:eastAsia="SimSun" w:cs="+mn-cs"/>
                <w:color w:val="FF0000"/>
                <w:kern w:val="24"/>
                <w:sz w:val="16"/>
                <w:szCs w:val="16"/>
                <w:u w:val="single"/>
              </w:rPr>
              <w:t>and the corresponding PDCCH, if any,</w:t>
            </w:r>
            <w:r>
              <w:rPr>
                <w:rFonts w:eastAsia="SimSun" w:cs="+mn-cs"/>
                <w:color w:val="FF0000"/>
                <w:kern w:val="24"/>
                <w:sz w:val="16"/>
                <w:szCs w:val="16"/>
              </w:rPr>
              <w:t xml:space="preserve"> </w:t>
            </w:r>
            <w:r w:rsidRPr="00EF6233">
              <w:rPr>
                <w:rFonts w:eastAsia="SimSun" w:cs="+mn-cs"/>
                <w:kern w:val="24"/>
                <w:sz w:val="16"/>
                <w:szCs w:val="16"/>
              </w:rPr>
              <w:t xml:space="preserve">as received in the determination of </w:t>
            </w:r>
            <m:oMath>
              <m:sSubSup>
                <m:sSubSupPr>
                  <m:ctrlPr>
                    <w:rPr>
                      <w:rFonts w:ascii="Cambria Math" w:eastAsia="SimSun" w:hAnsi="Cambria Math" w:cs="+mn-cs"/>
                      <w:i/>
                      <w:iCs/>
                      <w:kern w:val="24"/>
                      <w:sz w:val="16"/>
                      <w:szCs w:val="16"/>
                      <w:lang w:val="en-US"/>
                    </w:rPr>
                  </m:ctrlPr>
                </m:sSubSupPr>
                <m:e>
                  <m:r>
                    <w:rPr>
                      <w:rFonts w:ascii="Cambria Math" w:eastAsia="SimSun" w:hAnsi="Cambria Math" w:cs="+mn-cs"/>
                      <w:kern w:val="24"/>
                      <w:sz w:val="16"/>
                      <w:szCs w:val="16"/>
                    </w:rPr>
                    <m:t>N</m:t>
                  </m:r>
                </m:e>
                <m:sub>
                  <m:r>
                    <w:rPr>
                      <w:rFonts w:ascii="Cambria Math" w:eastAsia="SimSun" w:hAnsi="Cambria Math" w:cs="+mn-cs"/>
                      <w:kern w:val="24"/>
                      <w:sz w:val="16"/>
                      <w:szCs w:val="16"/>
                    </w:rPr>
                    <m:t>m,c</m:t>
                  </m:r>
                </m:sub>
                <m:sup>
                  <m:r>
                    <m:rPr>
                      <m:sty m:val="p"/>
                    </m:rPr>
                    <w:rPr>
                      <w:rFonts w:ascii="Cambria Math" w:eastAsia="SimSun" w:hAnsi="Cambria Math" w:cs="+mn-cs"/>
                      <w:kern w:val="24"/>
                      <w:sz w:val="16"/>
                      <w:szCs w:val="16"/>
                    </w:rPr>
                    <m:t>received,CBG</m:t>
                  </m:r>
                </m:sup>
              </m:sSubSup>
            </m:oMath>
            <w:r w:rsidRPr="00EF6233">
              <w:rPr>
                <w:rFonts w:eastAsia="SimSun" w:cs="+mn-cs"/>
                <w:kern w:val="24"/>
                <w:sz w:val="16"/>
                <w:szCs w:val="16"/>
              </w:rPr>
              <w:t xml:space="preserve"> in clause 9.1.3.1. If the UE is also provide</w:t>
            </w:r>
            <w:r w:rsidRPr="00EF6233">
              <w:rPr>
                <w:rFonts w:eastAsia="SimSun" w:cs="+mn-cs"/>
                <w:color w:val="000000"/>
                <w:kern w:val="24"/>
                <w:sz w:val="16"/>
                <w:szCs w:val="16"/>
              </w:rPr>
              <w:t xml:space="preserve">d </w:t>
            </w:r>
            <w:r w:rsidRPr="00EF6233">
              <w:rPr>
                <w:rFonts w:eastAsia="SimSun" w:cs="+mn-cs"/>
                <w:i/>
                <w:iCs/>
                <w:color w:val="000000"/>
                <w:kern w:val="24"/>
                <w:sz w:val="16"/>
                <w:szCs w:val="16"/>
              </w:rPr>
              <w:t>HARQ-feedbackEnablingforSPSactive</w:t>
            </w:r>
            <w:r w:rsidRPr="00EF6233">
              <w:rPr>
                <w:rFonts w:eastAsia="SimSun" w:cs="+mn-cs"/>
                <w:color w:val="000000"/>
                <w:kern w:val="24"/>
                <w:sz w:val="16"/>
                <w:szCs w:val="16"/>
              </w:rPr>
              <w:t xml:space="preserve">, the UE considers a HARQ process associated with a transport block in a first SPS </w:t>
            </w:r>
            <w:r w:rsidRPr="00EF6233">
              <w:rPr>
                <w:rFonts w:eastAsia="SimSun" w:cs="+mn-cs"/>
                <w:color w:val="000000"/>
                <w:kern w:val="24"/>
                <w:sz w:val="16"/>
                <w:szCs w:val="16"/>
                <w:lang w:val="en-US"/>
              </w:rPr>
              <w:t>PDSCH reception, after an activation of SPS PDSCH receptions,</w:t>
            </w:r>
            <w:r w:rsidRPr="00EF6233">
              <w:rPr>
                <w:rFonts w:eastAsia="SimSun" w:cs="+mn-cs"/>
                <w:color w:val="000000"/>
                <w:kern w:val="24"/>
                <w:sz w:val="16"/>
                <w:szCs w:val="16"/>
              </w:rPr>
              <w:t xml:space="preserve"> to have enabled HARQ-ACK information and the UE provides a HARQ-ACK information bit according to a decoding outcome for the transport block in the first SPS </w:t>
            </w:r>
            <w:r w:rsidRPr="00EF6233">
              <w:rPr>
                <w:rFonts w:eastAsia="SimSun" w:cs="+mn-cs"/>
                <w:color w:val="000000"/>
                <w:kern w:val="24"/>
                <w:sz w:val="16"/>
                <w:szCs w:val="16"/>
                <w:lang w:val="en-US"/>
              </w:rPr>
              <w:t>PDSCH reception</w:t>
            </w:r>
            <w:r w:rsidRPr="00EF6233">
              <w:rPr>
                <w:rFonts w:eastAsia="SimSun" w:cs="+mn-cs"/>
                <w:color w:val="000000"/>
                <w:kern w:val="24"/>
                <w:sz w:val="16"/>
                <w:szCs w:val="16"/>
              </w:rPr>
              <w:t>.</w:t>
            </w:r>
          </w:p>
          <w:p w14:paraId="4F413644" w14:textId="77777777" w:rsidR="00AE4FFF" w:rsidRPr="00EF6233" w:rsidRDefault="00AE4FFF" w:rsidP="00513CEB">
            <w:pPr>
              <w:spacing w:after="0"/>
              <w:rPr>
                <w:rFonts w:ascii="ＭＳ Ｐゴシック" w:eastAsia="ＭＳ Ｐゴシック" w:hAnsi="ＭＳ Ｐゴシック" w:cs="ＭＳ Ｐゴシック"/>
                <w:szCs w:val="24"/>
                <w:lang w:val="en-US"/>
              </w:rPr>
            </w:pPr>
            <w:r w:rsidRPr="00EF6233">
              <w:rPr>
                <w:rFonts w:eastAsia="SimSun" w:cs="+mn-cs"/>
                <w:color w:val="000000"/>
                <w:kern w:val="24"/>
                <w:sz w:val="16"/>
                <w:szCs w:val="16"/>
              </w:rPr>
              <w:t>...</w:t>
            </w:r>
          </w:p>
        </w:tc>
      </w:tr>
    </w:tbl>
    <w:p w14:paraId="090F6BFD" w14:textId="77777777" w:rsidR="006B4D42" w:rsidRPr="00A077A0" w:rsidRDefault="006B4D42" w:rsidP="006B4D42">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5</w:t>
      </w:r>
      <w:r w:rsidRPr="00A077A0">
        <w:rPr>
          <w:rFonts w:eastAsiaTheme="minorEastAsia"/>
          <w:b/>
          <w:sz w:val="22"/>
          <w:u w:val="single"/>
          <w:lang w:val="en-US"/>
        </w:rPr>
        <w:t>:</w:t>
      </w:r>
    </w:p>
    <w:p w14:paraId="2FAE8CDF" w14:textId="77777777" w:rsidR="006B4D42" w:rsidRDefault="006B4D42" w:rsidP="006B4D42">
      <w:pPr>
        <w:numPr>
          <w:ilvl w:val="0"/>
          <w:numId w:val="18"/>
        </w:numPr>
        <w:spacing w:before="50" w:afterLines="50" w:after="120"/>
        <w:jc w:val="both"/>
        <w:rPr>
          <w:rFonts w:eastAsiaTheme="minorEastAsia"/>
          <w:i/>
          <w:sz w:val="22"/>
          <w:lang w:val="en-US"/>
        </w:rPr>
      </w:pPr>
      <w:r>
        <w:rPr>
          <w:rFonts w:eastAsiaTheme="minorEastAsia"/>
          <w:i/>
          <w:sz w:val="22"/>
        </w:rPr>
        <w:t>A</w:t>
      </w:r>
      <w:r w:rsidRPr="007D74D6">
        <w:rPr>
          <w:rFonts w:eastAsiaTheme="minorEastAsia"/>
          <w:i/>
          <w:sz w:val="22"/>
        </w:rPr>
        <w:t>pply the following TP</w:t>
      </w:r>
      <w:r>
        <w:rPr>
          <w:rFonts w:eastAsiaTheme="minorEastAsia"/>
          <w:i/>
          <w:sz w:val="22"/>
        </w:rPr>
        <w:t>.</w:t>
      </w:r>
    </w:p>
    <w:tbl>
      <w:tblPr>
        <w:tblStyle w:val="afc"/>
        <w:tblW w:w="0" w:type="auto"/>
        <w:tblLook w:val="04A0" w:firstRow="1" w:lastRow="0" w:firstColumn="1" w:lastColumn="0" w:noHBand="0" w:noVBand="1"/>
      </w:tblPr>
      <w:tblGrid>
        <w:gridCol w:w="9962"/>
      </w:tblGrid>
      <w:tr w:rsidR="006B4D42" w:rsidRPr="00284247" w14:paraId="15293204" w14:textId="77777777" w:rsidTr="00084BA2">
        <w:tc>
          <w:tcPr>
            <w:tcW w:w="9962" w:type="dxa"/>
          </w:tcPr>
          <w:p w14:paraId="565F172F" w14:textId="77777777" w:rsidR="006B4D42" w:rsidRPr="00EF6233" w:rsidRDefault="006B4D42" w:rsidP="00084BA2">
            <w:pPr>
              <w:spacing w:after="0"/>
              <w:rPr>
                <w:rFonts w:eastAsia="SimSun" w:cs="+mn-cs"/>
                <w:color w:val="000000"/>
                <w:kern w:val="24"/>
                <w:sz w:val="16"/>
                <w:szCs w:val="16"/>
                <w:u w:val="single"/>
              </w:rPr>
            </w:pPr>
            <w:r w:rsidRPr="00EF6233">
              <w:rPr>
                <w:rFonts w:eastAsia="SimSun" w:cs="+mn-cs"/>
                <w:color w:val="000000"/>
                <w:kern w:val="24"/>
                <w:sz w:val="16"/>
                <w:szCs w:val="16"/>
                <w:u w:val="single"/>
              </w:rPr>
              <w:t>38.21</w:t>
            </w:r>
            <w:r>
              <w:rPr>
                <w:rFonts w:eastAsia="SimSun" w:cs="+mn-cs"/>
                <w:color w:val="000000"/>
                <w:kern w:val="24"/>
                <w:sz w:val="16"/>
                <w:szCs w:val="16"/>
                <w:u w:val="single"/>
              </w:rPr>
              <w:t>4</w:t>
            </w:r>
            <w:r w:rsidRPr="00EF6233">
              <w:rPr>
                <w:rFonts w:eastAsia="SimSun" w:cs="+mn-cs"/>
                <w:color w:val="000000"/>
                <w:kern w:val="24"/>
                <w:sz w:val="16"/>
                <w:szCs w:val="16"/>
                <w:u w:val="single"/>
              </w:rPr>
              <w:t xml:space="preserve"> V17.0.0</w:t>
            </w:r>
          </w:p>
          <w:p w14:paraId="19094D8E" w14:textId="77777777" w:rsidR="006B4D42" w:rsidRPr="00EF6233" w:rsidRDefault="006B4D42" w:rsidP="00084BA2">
            <w:pPr>
              <w:spacing w:after="0"/>
              <w:rPr>
                <w:rFonts w:eastAsia="SimSun" w:cs="+mn-cs"/>
                <w:color w:val="000000"/>
                <w:kern w:val="24"/>
                <w:sz w:val="16"/>
                <w:szCs w:val="16"/>
              </w:rPr>
            </w:pPr>
          </w:p>
          <w:p w14:paraId="14F0EE25" w14:textId="77777777" w:rsidR="006B4D42" w:rsidRDefault="006B4D42" w:rsidP="00084BA2">
            <w:pPr>
              <w:spacing w:after="0"/>
              <w:rPr>
                <w:rFonts w:ascii="Calibri" w:eastAsia="メイリオ" w:hAnsi="Calibri" w:cs="+mn-cs"/>
                <w:b/>
                <w:bCs/>
                <w:color w:val="000000"/>
                <w:kern w:val="24"/>
                <w:sz w:val="16"/>
                <w:szCs w:val="16"/>
              </w:rPr>
            </w:pPr>
            <w:r w:rsidRPr="002E5BA2">
              <w:rPr>
                <w:rFonts w:ascii="Calibri" w:eastAsia="メイリオ" w:hAnsi="Calibri" w:cs="+mn-cs"/>
                <w:b/>
                <w:bCs/>
                <w:color w:val="000000"/>
                <w:kern w:val="24"/>
                <w:sz w:val="16"/>
                <w:szCs w:val="16"/>
              </w:rPr>
              <w:t>5.1</w:t>
            </w:r>
            <w:r w:rsidRPr="002E5BA2">
              <w:rPr>
                <w:rFonts w:ascii="Calibri" w:eastAsia="メイリオ" w:hAnsi="Calibri" w:cs="+mn-cs"/>
                <w:b/>
                <w:bCs/>
                <w:color w:val="000000"/>
                <w:kern w:val="24"/>
                <w:sz w:val="16"/>
                <w:szCs w:val="16"/>
              </w:rPr>
              <w:tab/>
              <w:t>UE procedure for receiving the physical downlink shared channel</w:t>
            </w:r>
          </w:p>
          <w:p w14:paraId="79ECC5B3" w14:textId="77777777" w:rsidR="006B4D42" w:rsidRPr="002E5BA2" w:rsidRDefault="006B4D42" w:rsidP="00084BA2">
            <w:pPr>
              <w:spacing w:after="0"/>
              <w:rPr>
                <w:rFonts w:eastAsia="SimSun" w:cs="+mn-cs"/>
                <w:color w:val="000000"/>
                <w:kern w:val="24"/>
                <w:sz w:val="16"/>
                <w:szCs w:val="16"/>
              </w:rPr>
            </w:pPr>
            <w:r w:rsidRPr="002E5BA2">
              <w:rPr>
                <w:rFonts w:eastAsia="SimSun" w:cs="+mn-cs"/>
                <w:color w:val="000000"/>
                <w:kern w:val="24"/>
                <w:sz w:val="16"/>
                <w:szCs w:val="16"/>
              </w:rPr>
              <w:t xml:space="preserve">For downlink, a maximum of 16 HARQ processes per cell are supported by the UE, or subject to UE capability, </w:t>
            </w:r>
            <w:r w:rsidRPr="002E5BA2">
              <w:rPr>
                <w:rFonts w:eastAsia="SimSun" w:cs="+mn-cs"/>
                <w:bCs/>
                <w:color w:val="000000"/>
                <w:kern w:val="24"/>
                <w:sz w:val="16"/>
                <w:szCs w:val="16"/>
              </w:rPr>
              <w:t xml:space="preserve">a maximum of 32 HARQ processes per cell for the cases of </w:t>
            </w:r>
            <w:r w:rsidRPr="002E5BA2">
              <w:rPr>
                <w:rFonts w:eastAsiaTheme="minorEastAsia"/>
                <w:bCs/>
                <w:color w:val="000000"/>
                <w:kern w:val="24"/>
                <w:sz w:val="16"/>
                <w:szCs w:val="16"/>
              </w:rPr>
              <w:t>μ</w:t>
            </w:r>
            <w:r w:rsidRPr="002E5BA2">
              <w:rPr>
                <w:rFonts w:eastAsia="SimSun" w:cs="+mn-cs"/>
                <w:bCs/>
                <w:color w:val="000000"/>
                <w:kern w:val="24"/>
                <w:sz w:val="16"/>
                <w:szCs w:val="16"/>
              </w:rPr>
              <w:t xml:space="preserve"> = 5 and</w:t>
            </w:r>
            <w:r>
              <w:rPr>
                <w:rFonts w:asciiTheme="minorEastAsia" w:eastAsiaTheme="minorEastAsia" w:hAnsiTheme="minorEastAsia" w:cs="+mn-cs" w:hint="eastAsia"/>
                <w:bCs/>
                <w:color w:val="000000"/>
                <w:kern w:val="24"/>
                <w:sz w:val="16"/>
                <w:szCs w:val="16"/>
              </w:rPr>
              <w:t xml:space="preserve"> </w:t>
            </w:r>
            <w:r w:rsidRPr="002E5BA2">
              <w:rPr>
                <w:rFonts w:eastAsiaTheme="minorEastAsia"/>
                <w:bCs/>
                <w:color w:val="000000"/>
                <w:kern w:val="24"/>
                <w:sz w:val="16"/>
                <w:szCs w:val="16"/>
              </w:rPr>
              <w:t>μ</w:t>
            </w:r>
            <w:r>
              <w:rPr>
                <w:rFonts w:eastAsiaTheme="minorEastAsia" w:hint="eastAsia"/>
                <w:bCs/>
                <w:color w:val="000000"/>
                <w:kern w:val="24"/>
                <w:sz w:val="16"/>
                <w:szCs w:val="16"/>
              </w:rPr>
              <w:t xml:space="preserve"> </w:t>
            </w:r>
            <w:r w:rsidRPr="002E5BA2">
              <w:rPr>
                <w:rFonts w:eastAsia="SimSun" w:cs="+mn-cs"/>
                <w:bCs/>
                <w:color w:val="000000"/>
                <w:kern w:val="24"/>
                <w:sz w:val="16"/>
                <w:szCs w:val="16"/>
              </w:rPr>
              <w:t>= 6</w:t>
            </w:r>
            <w:r>
              <w:rPr>
                <w:rFonts w:asciiTheme="minorEastAsia" w:eastAsiaTheme="minorEastAsia" w:hAnsiTheme="minorEastAsia" w:cs="+mn-cs" w:hint="eastAsia"/>
                <w:bCs/>
                <w:color w:val="000000"/>
                <w:kern w:val="24"/>
                <w:sz w:val="16"/>
                <w:szCs w:val="16"/>
              </w:rPr>
              <w:t xml:space="preserve"> </w:t>
            </w:r>
            <w:r w:rsidRPr="00D33774">
              <w:rPr>
                <w:rFonts w:eastAsiaTheme="minorEastAsia" w:cs="+mn-cs" w:hint="eastAsia"/>
                <w:bCs/>
                <w:color w:val="FF0000"/>
                <w:kern w:val="24"/>
                <w:sz w:val="16"/>
                <w:szCs w:val="16"/>
                <w:u w:val="single"/>
              </w:rPr>
              <w:t>o</w:t>
            </w:r>
            <w:r w:rsidRPr="00D33774">
              <w:rPr>
                <w:rFonts w:eastAsiaTheme="minorEastAsia" w:cs="+mn-cs"/>
                <w:bCs/>
                <w:color w:val="FF0000"/>
                <w:kern w:val="24"/>
                <w:sz w:val="16"/>
                <w:szCs w:val="16"/>
                <w:u w:val="single"/>
              </w:rPr>
              <w:t>r for the cases of communications via satellite/HAPS or with ATG gNB</w:t>
            </w:r>
            <w:r>
              <w:rPr>
                <w:rFonts w:eastAsiaTheme="minorEastAsia" w:cs="+mn-cs"/>
                <w:bCs/>
                <w:color w:val="FF0000"/>
                <w:kern w:val="24"/>
                <w:sz w:val="16"/>
                <w:szCs w:val="16"/>
                <w:u w:val="single"/>
              </w:rPr>
              <w:t xml:space="preserve"> as specified in [8, TS 38.101-X]</w:t>
            </w:r>
            <w:r w:rsidRPr="002E5BA2">
              <w:rPr>
                <w:rFonts w:eastAsia="SimSun" w:cs="+mn-cs"/>
                <w:color w:val="000000"/>
                <w:kern w:val="24"/>
                <w:sz w:val="16"/>
                <w:szCs w:val="16"/>
              </w:rPr>
              <w:t xml:space="preserve">. The number of processes the UE may assume will at most be used for the downlink is configured to the UE for each cell separately by higher layer parameter </w:t>
            </w:r>
            <w:r w:rsidRPr="002E5BA2">
              <w:rPr>
                <w:rFonts w:eastAsia="SimSun" w:cs="+mn-cs"/>
                <w:i/>
                <w:color w:val="000000"/>
                <w:kern w:val="24"/>
                <w:sz w:val="16"/>
                <w:szCs w:val="16"/>
              </w:rPr>
              <w:t>nrofHARQ-ProcessesForPDSCH</w:t>
            </w:r>
            <w:r w:rsidRPr="002E5BA2">
              <w:rPr>
                <w:rFonts w:eastAsia="SimSun" w:cs="+mn-cs"/>
                <w:color w:val="000000"/>
                <w:kern w:val="24"/>
                <w:sz w:val="16"/>
                <w:szCs w:val="16"/>
              </w:rPr>
              <w:t>, and when no configuration is provided the UE may assume a default number of 8 processes.</w:t>
            </w:r>
          </w:p>
          <w:p w14:paraId="0B695014" w14:textId="77777777" w:rsidR="006B4D42" w:rsidRDefault="006B4D42" w:rsidP="00084BA2">
            <w:pPr>
              <w:spacing w:after="0"/>
              <w:rPr>
                <w:rFonts w:eastAsia="SimSun" w:cs="+mn-cs"/>
                <w:color w:val="000000"/>
                <w:kern w:val="24"/>
                <w:sz w:val="16"/>
                <w:szCs w:val="16"/>
              </w:rPr>
            </w:pPr>
            <w:r w:rsidRPr="00EF6233">
              <w:rPr>
                <w:rFonts w:eastAsia="SimSun" w:cs="+mn-cs"/>
                <w:color w:val="000000"/>
                <w:kern w:val="24"/>
                <w:sz w:val="16"/>
                <w:szCs w:val="16"/>
              </w:rPr>
              <w:t>...</w:t>
            </w:r>
          </w:p>
          <w:p w14:paraId="6231C00B" w14:textId="77777777" w:rsidR="006B4D42" w:rsidRDefault="006B4D42" w:rsidP="00084BA2">
            <w:pPr>
              <w:spacing w:after="0"/>
              <w:rPr>
                <w:rFonts w:ascii="Calibri" w:eastAsia="メイリオ" w:hAnsi="Calibri" w:cs="+mn-cs"/>
                <w:b/>
                <w:bCs/>
                <w:color w:val="000000"/>
                <w:kern w:val="24"/>
                <w:sz w:val="16"/>
                <w:szCs w:val="16"/>
              </w:rPr>
            </w:pPr>
            <w:r w:rsidRPr="002E5BA2">
              <w:rPr>
                <w:rFonts w:ascii="Calibri" w:eastAsia="メイリオ" w:hAnsi="Calibri" w:cs="+mn-cs"/>
                <w:b/>
                <w:bCs/>
                <w:color w:val="000000"/>
                <w:kern w:val="24"/>
                <w:sz w:val="16"/>
                <w:szCs w:val="16"/>
              </w:rPr>
              <w:t>6.1</w:t>
            </w:r>
            <w:r w:rsidRPr="002E5BA2">
              <w:rPr>
                <w:rFonts w:ascii="Calibri" w:eastAsia="メイリオ" w:hAnsi="Calibri" w:cs="+mn-cs"/>
                <w:b/>
                <w:bCs/>
                <w:color w:val="000000"/>
                <w:kern w:val="24"/>
                <w:sz w:val="16"/>
                <w:szCs w:val="16"/>
              </w:rPr>
              <w:tab/>
              <w:t>UE procedure for transmitting the physical uplink shared channel</w:t>
            </w:r>
          </w:p>
          <w:p w14:paraId="29A1495A" w14:textId="77777777" w:rsidR="006B4D42" w:rsidRDefault="006B4D42" w:rsidP="00084BA2">
            <w:pPr>
              <w:spacing w:after="0"/>
              <w:rPr>
                <w:rFonts w:eastAsia="SimSun" w:cs="+mn-cs"/>
                <w:color w:val="000000"/>
                <w:kern w:val="24"/>
                <w:sz w:val="16"/>
                <w:szCs w:val="16"/>
              </w:rPr>
            </w:pPr>
            <w:r w:rsidRPr="00EF6233">
              <w:rPr>
                <w:rFonts w:eastAsia="SimSun" w:cs="+mn-cs"/>
                <w:color w:val="000000"/>
                <w:kern w:val="24"/>
                <w:sz w:val="16"/>
                <w:szCs w:val="16"/>
              </w:rPr>
              <w:t>...</w:t>
            </w:r>
          </w:p>
          <w:p w14:paraId="2B87D5FE" w14:textId="77777777" w:rsidR="006B4D42" w:rsidRPr="002E5BA2" w:rsidRDefault="006B4D42" w:rsidP="00084BA2">
            <w:pPr>
              <w:spacing w:after="0"/>
              <w:rPr>
                <w:rFonts w:eastAsiaTheme="minorEastAsia" w:cs="+mn-cs"/>
                <w:color w:val="000000"/>
                <w:kern w:val="24"/>
                <w:sz w:val="16"/>
                <w:szCs w:val="16"/>
              </w:rPr>
            </w:pPr>
            <w:r w:rsidRPr="002E5BA2">
              <w:rPr>
                <w:rFonts w:eastAsiaTheme="minorEastAsia" w:cs="+mn-cs"/>
                <w:color w:val="000000"/>
                <w:kern w:val="24"/>
                <w:sz w:val="16"/>
                <w:szCs w:val="16"/>
              </w:rPr>
              <w:t xml:space="preserve">For uplink, 16 HARQ processes per cell are supported by the UE, or subject to UE capability, </w:t>
            </w:r>
            <w:r w:rsidRPr="002E5BA2">
              <w:rPr>
                <w:rFonts w:eastAsiaTheme="minorEastAsia" w:cs="+mn-cs"/>
                <w:bCs/>
                <w:color w:val="000000"/>
                <w:kern w:val="24"/>
                <w:sz w:val="16"/>
                <w:szCs w:val="16"/>
              </w:rPr>
              <w:t>a maximum of 32 HARQ processes per cell for the cases of</w:t>
            </w:r>
            <w:r>
              <w:rPr>
                <w:rFonts w:eastAsiaTheme="minorEastAsia" w:cs="+mn-cs" w:hint="eastAsia"/>
                <w:bCs/>
                <w:color w:val="000000"/>
                <w:kern w:val="24"/>
                <w:sz w:val="16"/>
                <w:szCs w:val="16"/>
              </w:rPr>
              <w:t xml:space="preserve"> </w:t>
            </w:r>
            <w:r w:rsidRPr="002E5BA2">
              <w:rPr>
                <w:rFonts w:eastAsiaTheme="minorEastAsia"/>
                <w:bCs/>
                <w:color w:val="000000"/>
                <w:kern w:val="24"/>
                <w:sz w:val="16"/>
                <w:szCs w:val="16"/>
              </w:rPr>
              <w:t>μ</w:t>
            </w:r>
            <w:r>
              <w:rPr>
                <w:rFonts w:eastAsiaTheme="minorEastAsia" w:hint="eastAsia"/>
                <w:bCs/>
                <w:color w:val="000000"/>
                <w:kern w:val="24"/>
                <w:sz w:val="16"/>
                <w:szCs w:val="16"/>
              </w:rPr>
              <w:t xml:space="preserve"> </w:t>
            </w:r>
            <w:r w:rsidRPr="002E5BA2">
              <w:rPr>
                <w:rFonts w:eastAsiaTheme="minorEastAsia" w:cs="+mn-cs"/>
                <w:bCs/>
                <w:color w:val="000000"/>
                <w:kern w:val="24"/>
                <w:sz w:val="16"/>
                <w:szCs w:val="16"/>
              </w:rPr>
              <w:t>= 5 or</w:t>
            </w:r>
            <w:r>
              <w:rPr>
                <w:rFonts w:eastAsiaTheme="minorEastAsia" w:cs="+mn-cs" w:hint="eastAsia"/>
                <w:bCs/>
                <w:color w:val="000000"/>
                <w:kern w:val="24"/>
                <w:sz w:val="16"/>
                <w:szCs w:val="16"/>
              </w:rPr>
              <w:t xml:space="preserve"> </w:t>
            </w:r>
            <w:r w:rsidRPr="002E5BA2">
              <w:rPr>
                <w:rFonts w:eastAsiaTheme="minorEastAsia"/>
                <w:bCs/>
                <w:color w:val="000000"/>
                <w:kern w:val="24"/>
                <w:sz w:val="16"/>
                <w:szCs w:val="16"/>
              </w:rPr>
              <w:t>μ</w:t>
            </w:r>
            <w:r>
              <w:rPr>
                <w:rFonts w:eastAsiaTheme="minorEastAsia" w:hint="eastAsia"/>
                <w:bCs/>
                <w:color w:val="000000"/>
                <w:kern w:val="24"/>
                <w:sz w:val="16"/>
                <w:szCs w:val="16"/>
              </w:rPr>
              <w:t xml:space="preserve"> </w:t>
            </w:r>
            <w:r w:rsidRPr="002E5BA2">
              <w:rPr>
                <w:rFonts w:eastAsiaTheme="minorEastAsia" w:cs="+mn-cs"/>
                <w:bCs/>
                <w:color w:val="000000"/>
                <w:kern w:val="24"/>
                <w:sz w:val="16"/>
                <w:szCs w:val="16"/>
              </w:rPr>
              <w:t>= 6</w:t>
            </w:r>
            <w:r>
              <w:rPr>
                <w:rFonts w:eastAsiaTheme="minorEastAsia" w:cs="+mn-cs"/>
                <w:bCs/>
                <w:color w:val="000000"/>
                <w:kern w:val="24"/>
                <w:sz w:val="16"/>
                <w:szCs w:val="16"/>
              </w:rPr>
              <w:t xml:space="preserve"> </w:t>
            </w:r>
            <w:r w:rsidRPr="00D33774">
              <w:rPr>
                <w:rFonts w:eastAsiaTheme="minorEastAsia" w:cs="+mn-cs" w:hint="eastAsia"/>
                <w:bCs/>
                <w:color w:val="FF0000"/>
                <w:kern w:val="24"/>
                <w:sz w:val="16"/>
                <w:szCs w:val="16"/>
                <w:u w:val="single"/>
              </w:rPr>
              <w:t>o</w:t>
            </w:r>
            <w:r w:rsidRPr="00D33774">
              <w:rPr>
                <w:rFonts w:eastAsiaTheme="minorEastAsia" w:cs="+mn-cs"/>
                <w:bCs/>
                <w:color w:val="FF0000"/>
                <w:kern w:val="24"/>
                <w:sz w:val="16"/>
                <w:szCs w:val="16"/>
                <w:u w:val="single"/>
              </w:rPr>
              <w:t>r for the cases of communications via satellite/HAPS or with ATG gNB</w:t>
            </w:r>
            <w:r>
              <w:rPr>
                <w:rFonts w:eastAsiaTheme="minorEastAsia" w:cs="+mn-cs"/>
                <w:bCs/>
                <w:color w:val="FF0000"/>
                <w:kern w:val="24"/>
                <w:sz w:val="16"/>
                <w:szCs w:val="16"/>
                <w:u w:val="single"/>
              </w:rPr>
              <w:t xml:space="preserve"> as specified in [8, TS 38.101-X]</w:t>
            </w:r>
            <w:r w:rsidRPr="002E5BA2">
              <w:rPr>
                <w:rFonts w:eastAsiaTheme="minorEastAsia" w:cs="+mn-cs"/>
                <w:color w:val="000000"/>
                <w:kern w:val="24"/>
                <w:sz w:val="16"/>
                <w:szCs w:val="16"/>
              </w:rPr>
              <w:t>.</w:t>
            </w:r>
          </w:p>
        </w:tc>
      </w:tr>
    </w:tbl>
    <w:p w14:paraId="7F6E356D" w14:textId="77777777" w:rsidR="00EA1507" w:rsidRPr="00A077A0" w:rsidRDefault="00EA1507" w:rsidP="00B342A7">
      <w:pPr>
        <w:spacing w:after="120"/>
        <w:jc w:val="both"/>
        <w:rPr>
          <w:rFonts w:eastAsia="SimSun"/>
          <w:sz w:val="22"/>
          <w:szCs w:val="22"/>
          <w:lang w:val="en-US" w:eastAsia="zh-CN"/>
        </w:rPr>
      </w:pPr>
    </w:p>
    <w:p w14:paraId="5134DDD9" w14:textId="77777777" w:rsidR="00E23DF0" w:rsidRPr="00A077A0" w:rsidRDefault="00E23DF0" w:rsidP="00E23DF0">
      <w:pPr>
        <w:pStyle w:val="1"/>
        <w:spacing w:after="120"/>
        <w:jc w:val="both"/>
        <w:rPr>
          <w:b/>
          <w:lang w:val="en-US"/>
        </w:rPr>
      </w:pPr>
      <w:r w:rsidRPr="00A077A0">
        <w:rPr>
          <w:b/>
          <w:lang w:val="en-US"/>
        </w:rPr>
        <w:t>References</w:t>
      </w:r>
    </w:p>
    <w:p w14:paraId="7D55B582" w14:textId="0E8FF375" w:rsidR="008E625C" w:rsidRPr="00B04D1F" w:rsidRDefault="008E625C" w:rsidP="008E625C">
      <w:pPr>
        <w:widowControl w:val="0"/>
        <w:numPr>
          <w:ilvl w:val="0"/>
          <w:numId w:val="4"/>
        </w:numPr>
        <w:spacing w:after="120"/>
        <w:jc w:val="both"/>
        <w:rPr>
          <w:sz w:val="22"/>
          <w:szCs w:val="22"/>
          <w:lang w:val="en-US"/>
        </w:rPr>
      </w:pPr>
      <w:r w:rsidRPr="00A077A0">
        <w:rPr>
          <w:rFonts w:eastAsia="SimSun"/>
          <w:sz w:val="22"/>
          <w:lang w:val="en-US" w:eastAsia="zh-CN"/>
        </w:rPr>
        <w:t>3GPP RAN1#10</w:t>
      </w:r>
      <w:r w:rsidR="00F058E8">
        <w:rPr>
          <w:rFonts w:eastAsiaTheme="minorEastAsia"/>
          <w:sz w:val="22"/>
          <w:lang w:val="en-US"/>
        </w:rPr>
        <w:t>7-e</w:t>
      </w:r>
      <w:r w:rsidR="00617279" w:rsidRPr="00A077A0">
        <w:rPr>
          <w:rFonts w:eastAsia="SimSun"/>
          <w:sz w:val="22"/>
          <w:lang w:val="en-US" w:eastAsia="zh-CN"/>
        </w:rPr>
        <w:t xml:space="preserve"> meeting</w:t>
      </w:r>
      <w:r w:rsidR="006135BF" w:rsidRPr="00A077A0">
        <w:rPr>
          <w:rFonts w:eastAsia="SimSun"/>
          <w:sz w:val="22"/>
          <w:lang w:val="en-US" w:eastAsia="zh-CN"/>
        </w:rPr>
        <w:t xml:space="preserve">, </w:t>
      </w:r>
      <w:r w:rsidRPr="00A077A0">
        <w:rPr>
          <w:rFonts w:eastAsia="SimSun"/>
          <w:sz w:val="22"/>
          <w:lang w:val="en-US" w:eastAsia="zh-CN"/>
        </w:rPr>
        <w:t>chairman’s notes</w:t>
      </w:r>
    </w:p>
    <w:sectPr w:rsidR="008E625C" w:rsidRPr="00B04D1F">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79276" w14:textId="77777777" w:rsidR="00336DDE" w:rsidRDefault="00336DDE">
      <w:r>
        <w:separator/>
      </w:r>
    </w:p>
  </w:endnote>
  <w:endnote w:type="continuationSeparator" w:id="0">
    <w:p w14:paraId="11FAFB6E" w14:textId="77777777" w:rsidR="00336DDE" w:rsidRDefault="00336DDE">
      <w:r>
        <w:continuationSeparator/>
      </w:r>
    </w:p>
  </w:endnote>
  <w:endnote w:type="continuationNotice" w:id="1">
    <w:p w14:paraId="77FE8122" w14:textId="77777777" w:rsidR="00336DDE" w:rsidRDefault="00336D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 w:name="メイリオ">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FCA4A47" w:rsidR="00036FC5" w:rsidRPr="00000924" w:rsidRDefault="00036FC5">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001133">
      <w:rPr>
        <w:rStyle w:val="af3"/>
        <w:rFonts w:eastAsia="ＭＳ ゴシック"/>
        <w:noProof/>
      </w:rPr>
      <w:t>9</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001133">
      <w:rPr>
        <w:rStyle w:val="af3"/>
        <w:rFonts w:eastAsia="ＭＳ ゴシック"/>
        <w:noProof/>
      </w:rPr>
      <w:t>10</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6A83F" w14:textId="77777777" w:rsidR="00336DDE" w:rsidRDefault="00336DDE">
      <w:r>
        <w:separator/>
      </w:r>
    </w:p>
  </w:footnote>
  <w:footnote w:type="continuationSeparator" w:id="0">
    <w:p w14:paraId="53375E29" w14:textId="77777777" w:rsidR="00336DDE" w:rsidRDefault="00336DDE">
      <w:r>
        <w:continuationSeparator/>
      </w:r>
    </w:p>
  </w:footnote>
  <w:footnote w:type="continuationNotice" w:id="1">
    <w:p w14:paraId="1B96927D" w14:textId="77777777" w:rsidR="00336DDE" w:rsidRDefault="00336D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04552BD"/>
    <w:multiLevelType w:val="hybridMultilevel"/>
    <w:tmpl w:val="BB089F1C"/>
    <w:lvl w:ilvl="0" w:tplc="7E2CFAD8">
      <w:start w:val="1"/>
      <w:numFmt w:val="bullet"/>
      <w:lvlText w:val=""/>
      <w:lvlJc w:val="left"/>
      <w:pPr>
        <w:tabs>
          <w:tab w:val="num" w:pos="720"/>
        </w:tabs>
        <w:ind w:left="720" w:hanging="360"/>
      </w:pPr>
      <w:rPr>
        <w:rFonts w:ascii="Wingdings" w:hAnsi="Wingdings" w:hint="default"/>
      </w:rPr>
    </w:lvl>
    <w:lvl w:ilvl="1" w:tplc="EDF686AA" w:tentative="1">
      <w:start w:val="1"/>
      <w:numFmt w:val="bullet"/>
      <w:lvlText w:val=""/>
      <w:lvlJc w:val="left"/>
      <w:pPr>
        <w:tabs>
          <w:tab w:val="num" w:pos="1440"/>
        </w:tabs>
        <w:ind w:left="1440" w:hanging="360"/>
      </w:pPr>
      <w:rPr>
        <w:rFonts w:ascii="Wingdings" w:hAnsi="Wingdings" w:hint="default"/>
      </w:rPr>
    </w:lvl>
    <w:lvl w:ilvl="2" w:tplc="9DF07418" w:tentative="1">
      <w:start w:val="1"/>
      <w:numFmt w:val="bullet"/>
      <w:lvlText w:val=""/>
      <w:lvlJc w:val="left"/>
      <w:pPr>
        <w:tabs>
          <w:tab w:val="num" w:pos="2160"/>
        </w:tabs>
        <w:ind w:left="2160" w:hanging="360"/>
      </w:pPr>
      <w:rPr>
        <w:rFonts w:ascii="Wingdings" w:hAnsi="Wingdings" w:hint="default"/>
      </w:rPr>
    </w:lvl>
    <w:lvl w:ilvl="3" w:tplc="5B100E2C" w:tentative="1">
      <w:start w:val="1"/>
      <w:numFmt w:val="bullet"/>
      <w:lvlText w:val=""/>
      <w:lvlJc w:val="left"/>
      <w:pPr>
        <w:tabs>
          <w:tab w:val="num" w:pos="2880"/>
        </w:tabs>
        <w:ind w:left="2880" w:hanging="360"/>
      </w:pPr>
      <w:rPr>
        <w:rFonts w:ascii="Wingdings" w:hAnsi="Wingdings" w:hint="default"/>
      </w:rPr>
    </w:lvl>
    <w:lvl w:ilvl="4" w:tplc="2B023E5C" w:tentative="1">
      <w:start w:val="1"/>
      <w:numFmt w:val="bullet"/>
      <w:lvlText w:val=""/>
      <w:lvlJc w:val="left"/>
      <w:pPr>
        <w:tabs>
          <w:tab w:val="num" w:pos="3600"/>
        </w:tabs>
        <w:ind w:left="3600" w:hanging="360"/>
      </w:pPr>
      <w:rPr>
        <w:rFonts w:ascii="Wingdings" w:hAnsi="Wingdings" w:hint="default"/>
      </w:rPr>
    </w:lvl>
    <w:lvl w:ilvl="5" w:tplc="B6462290" w:tentative="1">
      <w:start w:val="1"/>
      <w:numFmt w:val="bullet"/>
      <w:lvlText w:val=""/>
      <w:lvlJc w:val="left"/>
      <w:pPr>
        <w:tabs>
          <w:tab w:val="num" w:pos="4320"/>
        </w:tabs>
        <w:ind w:left="4320" w:hanging="360"/>
      </w:pPr>
      <w:rPr>
        <w:rFonts w:ascii="Wingdings" w:hAnsi="Wingdings" w:hint="default"/>
      </w:rPr>
    </w:lvl>
    <w:lvl w:ilvl="6" w:tplc="50D801C6" w:tentative="1">
      <w:start w:val="1"/>
      <w:numFmt w:val="bullet"/>
      <w:lvlText w:val=""/>
      <w:lvlJc w:val="left"/>
      <w:pPr>
        <w:tabs>
          <w:tab w:val="num" w:pos="5040"/>
        </w:tabs>
        <w:ind w:left="5040" w:hanging="360"/>
      </w:pPr>
      <w:rPr>
        <w:rFonts w:ascii="Wingdings" w:hAnsi="Wingdings" w:hint="default"/>
      </w:rPr>
    </w:lvl>
    <w:lvl w:ilvl="7" w:tplc="67C0AF8C" w:tentative="1">
      <w:start w:val="1"/>
      <w:numFmt w:val="bullet"/>
      <w:lvlText w:val=""/>
      <w:lvlJc w:val="left"/>
      <w:pPr>
        <w:tabs>
          <w:tab w:val="num" w:pos="5760"/>
        </w:tabs>
        <w:ind w:left="5760" w:hanging="360"/>
      </w:pPr>
      <w:rPr>
        <w:rFonts w:ascii="Wingdings" w:hAnsi="Wingdings" w:hint="default"/>
      </w:rPr>
    </w:lvl>
    <w:lvl w:ilvl="8" w:tplc="3DEE3BA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5E3443"/>
    <w:multiLevelType w:val="hybridMultilevel"/>
    <w:tmpl w:val="608AF9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C2858"/>
    <w:multiLevelType w:val="hybridMultilevel"/>
    <w:tmpl w:val="ED20775C"/>
    <w:lvl w:ilvl="0" w:tplc="8D14BA9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80BBB"/>
    <w:multiLevelType w:val="hybridMultilevel"/>
    <w:tmpl w:val="8258CC4E"/>
    <w:lvl w:ilvl="0" w:tplc="53DE070E">
      <w:start w:val="1"/>
      <w:numFmt w:val="bullet"/>
      <w:lvlText w:val=""/>
      <w:lvlJc w:val="left"/>
      <w:pPr>
        <w:tabs>
          <w:tab w:val="num" w:pos="720"/>
        </w:tabs>
        <w:ind w:left="720" w:hanging="360"/>
      </w:pPr>
      <w:rPr>
        <w:rFonts w:ascii="Symbol" w:hAnsi="Symbol" w:hint="default"/>
      </w:rPr>
    </w:lvl>
    <w:lvl w:ilvl="1" w:tplc="0336917E" w:tentative="1">
      <w:start w:val="1"/>
      <w:numFmt w:val="bullet"/>
      <w:lvlText w:val=""/>
      <w:lvlJc w:val="left"/>
      <w:pPr>
        <w:tabs>
          <w:tab w:val="num" w:pos="1440"/>
        </w:tabs>
        <w:ind w:left="1440" w:hanging="360"/>
      </w:pPr>
      <w:rPr>
        <w:rFonts w:ascii="Symbol" w:hAnsi="Symbol" w:hint="default"/>
      </w:rPr>
    </w:lvl>
    <w:lvl w:ilvl="2" w:tplc="3098C46C" w:tentative="1">
      <w:start w:val="1"/>
      <w:numFmt w:val="bullet"/>
      <w:lvlText w:val=""/>
      <w:lvlJc w:val="left"/>
      <w:pPr>
        <w:tabs>
          <w:tab w:val="num" w:pos="2160"/>
        </w:tabs>
        <w:ind w:left="2160" w:hanging="360"/>
      </w:pPr>
      <w:rPr>
        <w:rFonts w:ascii="Symbol" w:hAnsi="Symbol" w:hint="default"/>
      </w:rPr>
    </w:lvl>
    <w:lvl w:ilvl="3" w:tplc="06A40D54" w:tentative="1">
      <w:start w:val="1"/>
      <w:numFmt w:val="bullet"/>
      <w:lvlText w:val=""/>
      <w:lvlJc w:val="left"/>
      <w:pPr>
        <w:tabs>
          <w:tab w:val="num" w:pos="2880"/>
        </w:tabs>
        <w:ind w:left="2880" w:hanging="360"/>
      </w:pPr>
      <w:rPr>
        <w:rFonts w:ascii="Symbol" w:hAnsi="Symbol" w:hint="default"/>
      </w:rPr>
    </w:lvl>
    <w:lvl w:ilvl="4" w:tplc="B3AC4450" w:tentative="1">
      <w:start w:val="1"/>
      <w:numFmt w:val="bullet"/>
      <w:lvlText w:val=""/>
      <w:lvlJc w:val="left"/>
      <w:pPr>
        <w:tabs>
          <w:tab w:val="num" w:pos="3600"/>
        </w:tabs>
        <w:ind w:left="3600" w:hanging="360"/>
      </w:pPr>
      <w:rPr>
        <w:rFonts w:ascii="Symbol" w:hAnsi="Symbol" w:hint="default"/>
      </w:rPr>
    </w:lvl>
    <w:lvl w:ilvl="5" w:tplc="3DCAE280" w:tentative="1">
      <w:start w:val="1"/>
      <w:numFmt w:val="bullet"/>
      <w:lvlText w:val=""/>
      <w:lvlJc w:val="left"/>
      <w:pPr>
        <w:tabs>
          <w:tab w:val="num" w:pos="4320"/>
        </w:tabs>
        <w:ind w:left="4320" w:hanging="360"/>
      </w:pPr>
      <w:rPr>
        <w:rFonts w:ascii="Symbol" w:hAnsi="Symbol" w:hint="default"/>
      </w:rPr>
    </w:lvl>
    <w:lvl w:ilvl="6" w:tplc="E8968A90" w:tentative="1">
      <w:start w:val="1"/>
      <w:numFmt w:val="bullet"/>
      <w:lvlText w:val=""/>
      <w:lvlJc w:val="left"/>
      <w:pPr>
        <w:tabs>
          <w:tab w:val="num" w:pos="5040"/>
        </w:tabs>
        <w:ind w:left="5040" w:hanging="360"/>
      </w:pPr>
      <w:rPr>
        <w:rFonts w:ascii="Symbol" w:hAnsi="Symbol" w:hint="default"/>
      </w:rPr>
    </w:lvl>
    <w:lvl w:ilvl="7" w:tplc="4A8A2612" w:tentative="1">
      <w:start w:val="1"/>
      <w:numFmt w:val="bullet"/>
      <w:lvlText w:val=""/>
      <w:lvlJc w:val="left"/>
      <w:pPr>
        <w:tabs>
          <w:tab w:val="num" w:pos="5760"/>
        </w:tabs>
        <w:ind w:left="5760" w:hanging="360"/>
      </w:pPr>
      <w:rPr>
        <w:rFonts w:ascii="Symbol" w:hAnsi="Symbol" w:hint="default"/>
      </w:rPr>
    </w:lvl>
    <w:lvl w:ilvl="8" w:tplc="D68094A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FE5811"/>
    <w:multiLevelType w:val="hybridMultilevel"/>
    <w:tmpl w:val="7676F8E4"/>
    <w:lvl w:ilvl="0" w:tplc="07F49116">
      <w:start w:val="1"/>
      <w:numFmt w:val="bullet"/>
      <w:lvlText w:val=""/>
      <w:lvlJc w:val="left"/>
      <w:pPr>
        <w:tabs>
          <w:tab w:val="num" w:pos="720"/>
        </w:tabs>
        <w:ind w:left="720" w:hanging="360"/>
      </w:pPr>
      <w:rPr>
        <w:rFonts w:ascii="Symbol" w:hAnsi="Symbol" w:hint="default"/>
      </w:rPr>
    </w:lvl>
    <w:lvl w:ilvl="1" w:tplc="9042BB2A" w:tentative="1">
      <w:start w:val="1"/>
      <w:numFmt w:val="bullet"/>
      <w:lvlText w:val=""/>
      <w:lvlJc w:val="left"/>
      <w:pPr>
        <w:tabs>
          <w:tab w:val="num" w:pos="1440"/>
        </w:tabs>
        <w:ind w:left="1440" w:hanging="360"/>
      </w:pPr>
      <w:rPr>
        <w:rFonts w:ascii="Symbol" w:hAnsi="Symbol" w:hint="default"/>
      </w:rPr>
    </w:lvl>
    <w:lvl w:ilvl="2" w:tplc="CD2EED84" w:tentative="1">
      <w:start w:val="1"/>
      <w:numFmt w:val="bullet"/>
      <w:lvlText w:val=""/>
      <w:lvlJc w:val="left"/>
      <w:pPr>
        <w:tabs>
          <w:tab w:val="num" w:pos="2160"/>
        </w:tabs>
        <w:ind w:left="2160" w:hanging="360"/>
      </w:pPr>
      <w:rPr>
        <w:rFonts w:ascii="Symbol" w:hAnsi="Symbol" w:hint="default"/>
      </w:rPr>
    </w:lvl>
    <w:lvl w:ilvl="3" w:tplc="83F499F4" w:tentative="1">
      <w:start w:val="1"/>
      <w:numFmt w:val="bullet"/>
      <w:lvlText w:val=""/>
      <w:lvlJc w:val="left"/>
      <w:pPr>
        <w:tabs>
          <w:tab w:val="num" w:pos="2880"/>
        </w:tabs>
        <w:ind w:left="2880" w:hanging="360"/>
      </w:pPr>
      <w:rPr>
        <w:rFonts w:ascii="Symbol" w:hAnsi="Symbol" w:hint="default"/>
      </w:rPr>
    </w:lvl>
    <w:lvl w:ilvl="4" w:tplc="9424B36C" w:tentative="1">
      <w:start w:val="1"/>
      <w:numFmt w:val="bullet"/>
      <w:lvlText w:val=""/>
      <w:lvlJc w:val="left"/>
      <w:pPr>
        <w:tabs>
          <w:tab w:val="num" w:pos="3600"/>
        </w:tabs>
        <w:ind w:left="3600" w:hanging="360"/>
      </w:pPr>
      <w:rPr>
        <w:rFonts w:ascii="Symbol" w:hAnsi="Symbol" w:hint="default"/>
      </w:rPr>
    </w:lvl>
    <w:lvl w:ilvl="5" w:tplc="D66468D6" w:tentative="1">
      <w:start w:val="1"/>
      <w:numFmt w:val="bullet"/>
      <w:lvlText w:val=""/>
      <w:lvlJc w:val="left"/>
      <w:pPr>
        <w:tabs>
          <w:tab w:val="num" w:pos="4320"/>
        </w:tabs>
        <w:ind w:left="4320" w:hanging="360"/>
      </w:pPr>
      <w:rPr>
        <w:rFonts w:ascii="Symbol" w:hAnsi="Symbol" w:hint="default"/>
      </w:rPr>
    </w:lvl>
    <w:lvl w:ilvl="6" w:tplc="5456C632" w:tentative="1">
      <w:start w:val="1"/>
      <w:numFmt w:val="bullet"/>
      <w:lvlText w:val=""/>
      <w:lvlJc w:val="left"/>
      <w:pPr>
        <w:tabs>
          <w:tab w:val="num" w:pos="5040"/>
        </w:tabs>
        <w:ind w:left="5040" w:hanging="360"/>
      </w:pPr>
      <w:rPr>
        <w:rFonts w:ascii="Symbol" w:hAnsi="Symbol" w:hint="default"/>
      </w:rPr>
    </w:lvl>
    <w:lvl w:ilvl="7" w:tplc="E6C24728" w:tentative="1">
      <w:start w:val="1"/>
      <w:numFmt w:val="bullet"/>
      <w:lvlText w:val=""/>
      <w:lvlJc w:val="left"/>
      <w:pPr>
        <w:tabs>
          <w:tab w:val="num" w:pos="5760"/>
        </w:tabs>
        <w:ind w:left="5760" w:hanging="360"/>
      </w:pPr>
      <w:rPr>
        <w:rFonts w:ascii="Symbol" w:hAnsi="Symbol" w:hint="default"/>
      </w:rPr>
    </w:lvl>
    <w:lvl w:ilvl="8" w:tplc="4E9ACF8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E4208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591D0A"/>
    <w:multiLevelType w:val="hybridMultilevel"/>
    <w:tmpl w:val="9912AE20"/>
    <w:lvl w:ilvl="0" w:tplc="6C846BCA">
      <w:start w:val="1"/>
      <w:numFmt w:val="bullet"/>
      <w:lvlText w:val=""/>
      <w:lvlJc w:val="left"/>
      <w:pPr>
        <w:tabs>
          <w:tab w:val="num" w:pos="720"/>
        </w:tabs>
        <w:ind w:left="720" w:hanging="360"/>
      </w:pPr>
      <w:rPr>
        <w:rFonts w:ascii="Symbol" w:hAnsi="Symbol" w:hint="default"/>
      </w:rPr>
    </w:lvl>
    <w:lvl w:ilvl="1" w:tplc="BFA484FC" w:tentative="1">
      <w:start w:val="1"/>
      <w:numFmt w:val="bullet"/>
      <w:lvlText w:val=""/>
      <w:lvlJc w:val="left"/>
      <w:pPr>
        <w:tabs>
          <w:tab w:val="num" w:pos="1440"/>
        </w:tabs>
        <w:ind w:left="1440" w:hanging="360"/>
      </w:pPr>
      <w:rPr>
        <w:rFonts w:ascii="Symbol" w:hAnsi="Symbol" w:hint="default"/>
      </w:rPr>
    </w:lvl>
    <w:lvl w:ilvl="2" w:tplc="18EA4918" w:tentative="1">
      <w:start w:val="1"/>
      <w:numFmt w:val="bullet"/>
      <w:lvlText w:val=""/>
      <w:lvlJc w:val="left"/>
      <w:pPr>
        <w:tabs>
          <w:tab w:val="num" w:pos="2160"/>
        </w:tabs>
        <w:ind w:left="2160" w:hanging="360"/>
      </w:pPr>
      <w:rPr>
        <w:rFonts w:ascii="Symbol" w:hAnsi="Symbol" w:hint="default"/>
      </w:rPr>
    </w:lvl>
    <w:lvl w:ilvl="3" w:tplc="B4967548" w:tentative="1">
      <w:start w:val="1"/>
      <w:numFmt w:val="bullet"/>
      <w:lvlText w:val=""/>
      <w:lvlJc w:val="left"/>
      <w:pPr>
        <w:tabs>
          <w:tab w:val="num" w:pos="2880"/>
        </w:tabs>
        <w:ind w:left="2880" w:hanging="360"/>
      </w:pPr>
      <w:rPr>
        <w:rFonts w:ascii="Symbol" w:hAnsi="Symbol" w:hint="default"/>
      </w:rPr>
    </w:lvl>
    <w:lvl w:ilvl="4" w:tplc="C52225DE" w:tentative="1">
      <w:start w:val="1"/>
      <w:numFmt w:val="bullet"/>
      <w:lvlText w:val=""/>
      <w:lvlJc w:val="left"/>
      <w:pPr>
        <w:tabs>
          <w:tab w:val="num" w:pos="3600"/>
        </w:tabs>
        <w:ind w:left="3600" w:hanging="360"/>
      </w:pPr>
      <w:rPr>
        <w:rFonts w:ascii="Symbol" w:hAnsi="Symbol" w:hint="default"/>
      </w:rPr>
    </w:lvl>
    <w:lvl w:ilvl="5" w:tplc="35209488" w:tentative="1">
      <w:start w:val="1"/>
      <w:numFmt w:val="bullet"/>
      <w:lvlText w:val=""/>
      <w:lvlJc w:val="left"/>
      <w:pPr>
        <w:tabs>
          <w:tab w:val="num" w:pos="4320"/>
        </w:tabs>
        <w:ind w:left="4320" w:hanging="360"/>
      </w:pPr>
      <w:rPr>
        <w:rFonts w:ascii="Symbol" w:hAnsi="Symbol" w:hint="default"/>
      </w:rPr>
    </w:lvl>
    <w:lvl w:ilvl="6" w:tplc="C308BD96" w:tentative="1">
      <w:start w:val="1"/>
      <w:numFmt w:val="bullet"/>
      <w:lvlText w:val=""/>
      <w:lvlJc w:val="left"/>
      <w:pPr>
        <w:tabs>
          <w:tab w:val="num" w:pos="5040"/>
        </w:tabs>
        <w:ind w:left="5040" w:hanging="360"/>
      </w:pPr>
      <w:rPr>
        <w:rFonts w:ascii="Symbol" w:hAnsi="Symbol" w:hint="default"/>
      </w:rPr>
    </w:lvl>
    <w:lvl w:ilvl="7" w:tplc="CC94E988" w:tentative="1">
      <w:start w:val="1"/>
      <w:numFmt w:val="bullet"/>
      <w:lvlText w:val=""/>
      <w:lvlJc w:val="left"/>
      <w:pPr>
        <w:tabs>
          <w:tab w:val="num" w:pos="5760"/>
        </w:tabs>
        <w:ind w:left="5760" w:hanging="360"/>
      </w:pPr>
      <w:rPr>
        <w:rFonts w:ascii="Symbol" w:hAnsi="Symbol" w:hint="default"/>
      </w:rPr>
    </w:lvl>
    <w:lvl w:ilvl="8" w:tplc="BBFC54B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D9C5350"/>
    <w:multiLevelType w:val="hybridMultilevel"/>
    <w:tmpl w:val="D4E86EE8"/>
    <w:lvl w:ilvl="0" w:tplc="19B22B64">
      <w:start w:val="1"/>
      <w:numFmt w:val="bullet"/>
      <w:lvlText w:val=""/>
      <w:lvlJc w:val="left"/>
      <w:pPr>
        <w:tabs>
          <w:tab w:val="num" w:pos="720"/>
        </w:tabs>
        <w:ind w:left="720" w:hanging="360"/>
      </w:pPr>
      <w:rPr>
        <w:rFonts w:ascii="Symbol" w:hAnsi="Symbol" w:hint="default"/>
      </w:rPr>
    </w:lvl>
    <w:lvl w:ilvl="1" w:tplc="F8CC5AF8">
      <w:numFmt w:val="bullet"/>
      <w:lvlText w:val="o"/>
      <w:lvlJc w:val="left"/>
      <w:pPr>
        <w:tabs>
          <w:tab w:val="num" w:pos="1440"/>
        </w:tabs>
        <w:ind w:left="1440" w:hanging="360"/>
      </w:pPr>
      <w:rPr>
        <w:rFonts w:ascii="Courier New" w:hAnsi="Courier New" w:hint="default"/>
      </w:rPr>
    </w:lvl>
    <w:lvl w:ilvl="2" w:tplc="33A4676A">
      <w:numFmt w:val="bullet"/>
      <w:lvlText w:val=""/>
      <w:lvlJc w:val="left"/>
      <w:pPr>
        <w:tabs>
          <w:tab w:val="num" w:pos="2160"/>
        </w:tabs>
        <w:ind w:left="2160" w:hanging="360"/>
      </w:pPr>
      <w:rPr>
        <w:rFonts w:ascii="Symbol" w:hAnsi="Symbol" w:hint="default"/>
      </w:rPr>
    </w:lvl>
    <w:lvl w:ilvl="3" w:tplc="B2D2A75C" w:tentative="1">
      <w:start w:val="1"/>
      <w:numFmt w:val="bullet"/>
      <w:lvlText w:val=""/>
      <w:lvlJc w:val="left"/>
      <w:pPr>
        <w:tabs>
          <w:tab w:val="num" w:pos="2880"/>
        </w:tabs>
        <w:ind w:left="2880" w:hanging="360"/>
      </w:pPr>
      <w:rPr>
        <w:rFonts w:ascii="Symbol" w:hAnsi="Symbol" w:hint="default"/>
      </w:rPr>
    </w:lvl>
    <w:lvl w:ilvl="4" w:tplc="EF4E32A4" w:tentative="1">
      <w:start w:val="1"/>
      <w:numFmt w:val="bullet"/>
      <w:lvlText w:val=""/>
      <w:lvlJc w:val="left"/>
      <w:pPr>
        <w:tabs>
          <w:tab w:val="num" w:pos="3600"/>
        </w:tabs>
        <w:ind w:left="3600" w:hanging="360"/>
      </w:pPr>
      <w:rPr>
        <w:rFonts w:ascii="Symbol" w:hAnsi="Symbol" w:hint="default"/>
      </w:rPr>
    </w:lvl>
    <w:lvl w:ilvl="5" w:tplc="04D4A984" w:tentative="1">
      <w:start w:val="1"/>
      <w:numFmt w:val="bullet"/>
      <w:lvlText w:val=""/>
      <w:lvlJc w:val="left"/>
      <w:pPr>
        <w:tabs>
          <w:tab w:val="num" w:pos="4320"/>
        </w:tabs>
        <w:ind w:left="4320" w:hanging="360"/>
      </w:pPr>
      <w:rPr>
        <w:rFonts w:ascii="Symbol" w:hAnsi="Symbol" w:hint="default"/>
      </w:rPr>
    </w:lvl>
    <w:lvl w:ilvl="6" w:tplc="C222049A" w:tentative="1">
      <w:start w:val="1"/>
      <w:numFmt w:val="bullet"/>
      <w:lvlText w:val=""/>
      <w:lvlJc w:val="left"/>
      <w:pPr>
        <w:tabs>
          <w:tab w:val="num" w:pos="5040"/>
        </w:tabs>
        <w:ind w:left="5040" w:hanging="360"/>
      </w:pPr>
      <w:rPr>
        <w:rFonts w:ascii="Symbol" w:hAnsi="Symbol" w:hint="default"/>
      </w:rPr>
    </w:lvl>
    <w:lvl w:ilvl="7" w:tplc="D032A56E" w:tentative="1">
      <w:start w:val="1"/>
      <w:numFmt w:val="bullet"/>
      <w:lvlText w:val=""/>
      <w:lvlJc w:val="left"/>
      <w:pPr>
        <w:tabs>
          <w:tab w:val="num" w:pos="5760"/>
        </w:tabs>
        <w:ind w:left="5760" w:hanging="360"/>
      </w:pPr>
      <w:rPr>
        <w:rFonts w:ascii="Symbol" w:hAnsi="Symbol" w:hint="default"/>
      </w:rPr>
    </w:lvl>
    <w:lvl w:ilvl="8" w:tplc="F4C0327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DB03E84"/>
    <w:multiLevelType w:val="hybridMultilevel"/>
    <w:tmpl w:val="305CA986"/>
    <w:lvl w:ilvl="0" w:tplc="5B5C756A">
      <w:start w:val="4"/>
      <w:numFmt w:val="bullet"/>
      <w:lvlText w:val="-"/>
      <w:lvlJc w:val="left"/>
      <w:pPr>
        <w:ind w:left="720" w:hanging="360"/>
      </w:pPr>
      <w:rPr>
        <w:rFonts w:ascii="Times New Roman" w:eastAsiaTheme="minorEastAsia" w:hAnsi="Times New Roman" w:cs="Times New Roman" w:hint="default"/>
      </w:rPr>
    </w:lvl>
    <w:lvl w:ilvl="1" w:tplc="5B5C756A">
      <w:start w:val="4"/>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11763F"/>
    <w:multiLevelType w:val="hybridMultilevel"/>
    <w:tmpl w:val="91562DB8"/>
    <w:lvl w:ilvl="0" w:tplc="E67CDF28">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364E31"/>
    <w:multiLevelType w:val="hybridMultilevel"/>
    <w:tmpl w:val="0344C56E"/>
    <w:lvl w:ilvl="0" w:tplc="C438273A">
      <w:start w:val="1"/>
      <w:numFmt w:val="bullet"/>
      <w:lvlText w:val=""/>
      <w:lvlJc w:val="left"/>
      <w:pPr>
        <w:tabs>
          <w:tab w:val="num" w:pos="720"/>
        </w:tabs>
        <w:ind w:left="720" w:hanging="360"/>
      </w:pPr>
      <w:rPr>
        <w:rFonts w:ascii="Symbol" w:hAnsi="Symbol" w:hint="default"/>
      </w:rPr>
    </w:lvl>
    <w:lvl w:ilvl="1" w:tplc="5F56CF72" w:tentative="1">
      <w:start w:val="1"/>
      <w:numFmt w:val="bullet"/>
      <w:lvlText w:val=""/>
      <w:lvlJc w:val="left"/>
      <w:pPr>
        <w:tabs>
          <w:tab w:val="num" w:pos="1440"/>
        </w:tabs>
        <w:ind w:left="1440" w:hanging="360"/>
      </w:pPr>
      <w:rPr>
        <w:rFonts w:ascii="Symbol" w:hAnsi="Symbol" w:hint="default"/>
      </w:rPr>
    </w:lvl>
    <w:lvl w:ilvl="2" w:tplc="EC68E084" w:tentative="1">
      <w:start w:val="1"/>
      <w:numFmt w:val="bullet"/>
      <w:lvlText w:val=""/>
      <w:lvlJc w:val="left"/>
      <w:pPr>
        <w:tabs>
          <w:tab w:val="num" w:pos="2160"/>
        </w:tabs>
        <w:ind w:left="2160" w:hanging="360"/>
      </w:pPr>
      <w:rPr>
        <w:rFonts w:ascii="Symbol" w:hAnsi="Symbol" w:hint="default"/>
      </w:rPr>
    </w:lvl>
    <w:lvl w:ilvl="3" w:tplc="B5CE0D58" w:tentative="1">
      <w:start w:val="1"/>
      <w:numFmt w:val="bullet"/>
      <w:lvlText w:val=""/>
      <w:lvlJc w:val="left"/>
      <w:pPr>
        <w:tabs>
          <w:tab w:val="num" w:pos="2880"/>
        </w:tabs>
        <w:ind w:left="2880" w:hanging="360"/>
      </w:pPr>
      <w:rPr>
        <w:rFonts w:ascii="Symbol" w:hAnsi="Symbol" w:hint="default"/>
      </w:rPr>
    </w:lvl>
    <w:lvl w:ilvl="4" w:tplc="6AD0158C" w:tentative="1">
      <w:start w:val="1"/>
      <w:numFmt w:val="bullet"/>
      <w:lvlText w:val=""/>
      <w:lvlJc w:val="left"/>
      <w:pPr>
        <w:tabs>
          <w:tab w:val="num" w:pos="3600"/>
        </w:tabs>
        <w:ind w:left="3600" w:hanging="360"/>
      </w:pPr>
      <w:rPr>
        <w:rFonts w:ascii="Symbol" w:hAnsi="Symbol" w:hint="default"/>
      </w:rPr>
    </w:lvl>
    <w:lvl w:ilvl="5" w:tplc="D8F2500A" w:tentative="1">
      <w:start w:val="1"/>
      <w:numFmt w:val="bullet"/>
      <w:lvlText w:val=""/>
      <w:lvlJc w:val="left"/>
      <w:pPr>
        <w:tabs>
          <w:tab w:val="num" w:pos="4320"/>
        </w:tabs>
        <w:ind w:left="4320" w:hanging="360"/>
      </w:pPr>
      <w:rPr>
        <w:rFonts w:ascii="Symbol" w:hAnsi="Symbol" w:hint="default"/>
      </w:rPr>
    </w:lvl>
    <w:lvl w:ilvl="6" w:tplc="DF44EB12" w:tentative="1">
      <w:start w:val="1"/>
      <w:numFmt w:val="bullet"/>
      <w:lvlText w:val=""/>
      <w:lvlJc w:val="left"/>
      <w:pPr>
        <w:tabs>
          <w:tab w:val="num" w:pos="5040"/>
        </w:tabs>
        <w:ind w:left="5040" w:hanging="360"/>
      </w:pPr>
      <w:rPr>
        <w:rFonts w:ascii="Symbol" w:hAnsi="Symbol" w:hint="default"/>
      </w:rPr>
    </w:lvl>
    <w:lvl w:ilvl="7" w:tplc="C6624C0C" w:tentative="1">
      <w:start w:val="1"/>
      <w:numFmt w:val="bullet"/>
      <w:lvlText w:val=""/>
      <w:lvlJc w:val="left"/>
      <w:pPr>
        <w:tabs>
          <w:tab w:val="num" w:pos="5760"/>
        </w:tabs>
        <w:ind w:left="5760" w:hanging="360"/>
      </w:pPr>
      <w:rPr>
        <w:rFonts w:ascii="Symbol" w:hAnsi="Symbol" w:hint="default"/>
      </w:rPr>
    </w:lvl>
    <w:lvl w:ilvl="8" w:tplc="F19C714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9A83AF5"/>
    <w:multiLevelType w:val="hybridMultilevel"/>
    <w:tmpl w:val="2DAEE890"/>
    <w:lvl w:ilvl="0" w:tplc="5E8C7D56">
      <w:start w:val="1"/>
      <w:numFmt w:val="bullet"/>
      <w:lvlText w:val=""/>
      <w:lvlJc w:val="left"/>
      <w:pPr>
        <w:tabs>
          <w:tab w:val="num" w:pos="346"/>
        </w:tabs>
        <w:ind w:left="346" w:hanging="360"/>
      </w:pPr>
      <w:rPr>
        <w:rFonts w:ascii="Symbol" w:hAnsi="Symbol" w:hint="default"/>
      </w:rPr>
    </w:lvl>
    <w:lvl w:ilvl="1" w:tplc="E6144BF0">
      <w:start w:val="125"/>
      <w:numFmt w:val="bullet"/>
      <w:lvlText w:val="o"/>
      <w:lvlJc w:val="left"/>
      <w:pPr>
        <w:tabs>
          <w:tab w:val="num" w:pos="1066"/>
        </w:tabs>
        <w:ind w:left="1066" w:hanging="360"/>
      </w:pPr>
      <w:rPr>
        <w:rFonts w:ascii="Courier New" w:hAnsi="Courier New" w:hint="default"/>
      </w:rPr>
    </w:lvl>
    <w:lvl w:ilvl="2" w:tplc="9B0A3976" w:tentative="1">
      <w:start w:val="1"/>
      <w:numFmt w:val="bullet"/>
      <w:lvlText w:val=""/>
      <w:lvlJc w:val="left"/>
      <w:pPr>
        <w:tabs>
          <w:tab w:val="num" w:pos="1786"/>
        </w:tabs>
        <w:ind w:left="1786" w:hanging="360"/>
      </w:pPr>
      <w:rPr>
        <w:rFonts w:ascii="Symbol" w:hAnsi="Symbol" w:hint="default"/>
      </w:rPr>
    </w:lvl>
    <w:lvl w:ilvl="3" w:tplc="D8EC982A" w:tentative="1">
      <w:start w:val="1"/>
      <w:numFmt w:val="bullet"/>
      <w:lvlText w:val=""/>
      <w:lvlJc w:val="left"/>
      <w:pPr>
        <w:tabs>
          <w:tab w:val="num" w:pos="2506"/>
        </w:tabs>
        <w:ind w:left="2506" w:hanging="360"/>
      </w:pPr>
      <w:rPr>
        <w:rFonts w:ascii="Symbol" w:hAnsi="Symbol" w:hint="default"/>
      </w:rPr>
    </w:lvl>
    <w:lvl w:ilvl="4" w:tplc="FD4E5FD2" w:tentative="1">
      <w:start w:val="1"/>
      <w:numFmt w:val="bullet"/>
      <w:lvlText w:val=""/>
      <w:lvlJc w:val="left"/>
      <w:pPr>
        <w:tabs>
          <w:tab w:val="num" w:pos="3226"/>
        </w:tabs>
        <w:ind w:left="3226" w:hanging="360"/>
      </w:pPr>
      <w:rPr>
        <w:rFonts w:ascii="Symbol" w:hAnsi="Symbol" w:hint="default"/>
      </w:rPr>
    </w:lvl>
    <w:lvl w:ilvl="5" w:tplc="4ED22772" w:tentative="1">
      <w:start w:val="1"/>
      <w:numFmt w:val="bullet"/>
      <w:lvlText w:val=""/>
      <w:lvlJc w:val="left"/>
      <w:pPr>
        <w:tabs>
          <w:tab w:val="num" w:pos="3946"/>
        </w:tabs>
        <w:ind w:left="3946" w:hanging="360"/>
      </w:pPr>
      <w:rPr>
        <w:rFonts w:ascii="Symbol" w:hAnsi="Symbol" w:hint="default"/>
      </w:rPr>
    </w:lvl>
    <w:lvl w:ilvl="6" w:tplc="9CDC4062" w:tentative="1">
      <w:start w:val="1"/>
      <w:numFmt w:val="bullet"/>
      <w:lvlText w:val=""/>
      <w:lvlJc w:val="left"/>
      <w:pPr>
        <w:tabs>
          <w:tab w:val="num" w:pos="4666"/>
        </w:tabs>
        <w:ind w:left="4666" w:hanging="360"/>
      </w:pPr>
      <w:rPr>
        <w:rFonts w:ascii="Symbol" w:hAnsi="Symbol" w:hint="default"/>
      </w:rPr>
    </w:lvl>
    <w:lvl w:ilvl="7" w:tplc="427C0656" w:tentative="1">
      <w:start w:val="1"/>
      <w:numFmt w:val="bullet"/>
      <w:lvlText w:val=""/>
      <w:lvlJc w:val="left"/>
      <w:pPr>
        <w:tabs>
          <w:tab w:val="num" w:pos="5386"/>
        </w:tabs>
        <w:ind w:left="5386" w:hanging="360"/>
      </w:pPr>
      <w:rPr>
        <w:rFonts w:ascii="Symbol" w:hAnsi="Symbol" w:hint="default"/>
      </w:rPr>
    </w:lvl>
    <w:lvl w:ilvl="8" w:tplc="73D05184" w:tentative="1">
      <w:start w:val="1"/>
      <w:numFmt w:val="bullet"/>
      <w:lvlText w:val=""/>
      <w:lvlJc w:val="left"/>
      <w:pPr>
        <w:tabs>
          <w:tab w:val="num" w:pos="6106"/>
        </w:tabs>
        <w:ind w:left="6106" w:hanging="360"/>
      </w:pPr>
      <w:rPr>
        <w:rFonts w:ascii="Symbol" w:hAnsi="Symbol" w:hint="default"/>
      </w:rPr>
    </w:lvl>
  </w:abstractNum>
  <w:abstractNum w:abstractNumId="23" w15:restartNumberingAfterBreak="0">
    <w:nsid w:val="61320129"/>
    <w:multiLevelType w:val="hybridMultilevel"/>
    <w:tmpl w:val="651A09C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156981"/>
    <w:multiLevelType w:val="hybridMultilevel"/>
    <w:tmpl w:val="8E68D74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4D3345E"/>
    <w:multiLevelType w:val="hybridMultilevel"/>
    <w:tmpl w:val="518CC0E6"/>
    <w:lvl w:ilvl="0" w:tplc="8D14BA9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C37011"/>
    <w:multiLevelType w:val="hybridMultilevel"/>
    <w:tmpl w:val="FAB237FE"/>
    <w:lvl w:ilvl="0" w:tplc="9B58054E">
      <w:start w:val="1"/>
      <w:numFmt w:val="bullet"/>
      <w:lvlText w:val=""/>
      <w:lvlJc w:val="left"/>
      <w:pPr>
        <w:tabs>
          <w:tab w:val="num" w:pos="720"/>
        </w:tabs>
        <w:ind w:left="720" w:hanging="360"/>
      </w:pPr>
      <w:rPr>
        <w:rFonts w:ascii="Symbol" w:hAnsi="Symbol" w:hint="default"/>
      </w:rPr>
    </w:lvl>
    <w:lvl w:ilvl="1" w:tplc="F0A6B7DC" w:tentative="1">
      <w:start w:val="1"/>
      <w:numFmt w:val="bullet"/>
      <w:lvlText w:val=""/>
      <w:lvlJc w:val="left"/>
      <w:pPr>
        <w:tabs>
          <w:tab w:val="num" w:pos="1440"/>
        </w:tabs>
        <w:ind w:left="1440" w:hanging="360"/>
      </w:pPr>
      <w:rPr>
        <w:rFonts w:ascii="Symbol" w:hAnsi="Symbol" w:hint="default"/>
      </w:rPr>
    </w:lvl>
    <w:lvl w:ilvl="2" w:tplc="E9FE4864" w:tentative="1">
      <w:start w:val="1"/>
      <w:numFmt w:val="bullet"/>
      <w:lvlText w:val=""/>
      <w:lvlJc w:val="left"/>
      <w:pPr>
        <w:tabs>
          <w:tab w:val="num" w:pos="2160"/>
        </w:tabs>
        <w:ind w:left="2160" w:hanging="360"/>
      </w:pPr>
      <w:rPr>
        <w:rFonts w:ascii="Symbol" w:hAnsi="Symbol" w:hint="default"/>
      </w:rPr>
    </w:lvl>
    <w:lvl w:ilvl="3" w:tplc="8BC8F4F0" w:tentative="1">
      <w:start w:val="1"/>
      <w:numFmt w:val="bullet"/>
      <w:lvlText w:val=""/>
      <w:lvlJc w:val="left"/>
      <w:pPr>
        <w:tabs>
          <w:tab w:val="num" w:pos="2880"/>
        </w:tabs>
        <w:ind w:left="2880" w:hanging="360"/>
      </w:pPr>
      <w:rPr>
        <w:rFonts w:ascii="Symbol" w:hAnsi="Symbol" w:hint="default"/>
      </w:rPr>
    </w:lvl>
    <w:lvl w:ilvl="4" w:tplc="62FCB3A2" w:tentative="1">
      <w:start w:val="1"/>
      <w:numFmt w:val="bullet"/>
      <w:lvlText w:val=""/>
      <w:lvlJc w:val="left"/>
      <w:pPr>
        <w:tabs>
          <w:tab w:val="num" w:pos="3600"/>
        </w:tabs>
        <w:ind w:left="3600" w:hanging="360"/>
      </w:pPr>
      <w:rPr>
        <w:rFonts w:ascii="Symbol" w:hAnsi="Symbol" w:hint="default"/>
      </w:rPr>
    </w:lvl>
    <w:lvl w:ilvl="5" w:tplc="FB62AA66" w:tentative="1">
      <w:start w:val="1"/>
      <w:numFmt w:val="bullet"/>
      <w:lvlText w:val=""/>
      <w:lvlJc w:val="left"/>
      <w:pPr>
        <w:tabs>
          <w:tab w:val="num" w:pos="4320"/>
        </w:tabs>
        <w:ind w:left="4320" w:hanging="360"/>
      </w:pPr>
      <w:rPr>
        <w:rFonts w:ascii="Symbol" w:hAnsi="Symbol" w:hint="default"/>
      </w:rPr>
    </w:lvl>
    <w:lvl w:ilvl="6" w:tplc="80D2989C" w:tentative="1">
      <w:start w:val="1"/>
      <w:numFmt w:val="bullet"/>
      <w:lvlText w:val=""/>
      <w:lvlJc w:val="left"/>
      <w:pPr>
        <w:tabs>
          <w:tab w:val="num" w:pos="5040"/>
        </w:tabs>
        <w:ind w:left="5040" w:hanging="360"/>
      </w:pPr>
      <w:rPr>
        <w:rFonts w:ascii="Symbol" w:hAnsi="Symbol" w:hint="default"/>
      </w:rPr>
    </w:lvl>
    <w:lvl w:ilvl="7" w:tplc="48900E7A" w:tentative="1">
      <w:start w:val="1"/>
      <w:numFmt w:val="bullet"/>
      <w:lvlText w:val=""/>
      <w:lvlJc w:val="left"/>
      <w:pPr>
        <w:tabs>
          <w:tab w:val="num" w:pos="5760"/>
        </w:tabs>
        <w:ind w:left="5760" w:hanging="360"/>
      </w:pPr>
      <w:rPr>
        <w:rFonts w:ascii="Symbol" w:hAnsi="Symbol" w:hint="default"/>
      </w:rPr>
    </w:lvl>
    <w:lvl w:ilvl="8" w:tplc="C964AC1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CBD68E4"/>
    <w:multiLevelType w:val="hybridMultilevel"/>
    <w:tmpl w:val="8EA2587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552EA7"/>
    <w:multiLevelType w:val="hybridMultilevel"/>
    <w:tmpl w:val="4A40D31A"/>
    <w:lvl w:ilvl="0" w:tplc="9EFA5048">
      <w:start w:val="9"/>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E69E3"/>
    <w:multiLevelType w:val="hybridMultilevel"/>
    <w:tmpl w:val="E7006B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10"/>
  </w:num>
  <w:num w:numId="4">
    <w:abstractNumId w:val="5"/>
  </w:num>
  <w:num w:numId="5">
    <w:abstractNumId w:val="31"/>
  </w:num>
  <w:num w:numId="6">
    <w:abstractNumId w:val="21"/>
  </w:num>
  <w:num w:numId="7">
    <w:abstractNumId w:val="9"/>
  </w:num>
  <w:num w:numId="8">
    <w:abstractNumId w:val="15"/>
  </w:num>
  <w:num w:numId="9">
    <w:abstractNumId w:val="19"/>
  </w:num>
  <w:num w:numId="10">
    <w:abstractNumId w:val="20"/>
  </w:num>
  <w:num w:numId="11">
    <w:abstractNumId w:val="13"/>
  </w:num>
  <w:num w:numId="12">
    <w:abstractNumId w:val="16"/>
  </w:num>
  <w:num w:numId="13">
    <w:abstractNumId w:val="2"/>
  </w:num>
  <w:num w:numId="14">
    <w:abstractNumId w:val="23"/>
  </w:num>
  <w:num w:numId="15">
    <w:abstractNumId w:val="28"/>
  </w:num>
  <w:num w:numId="16">
    <w:abstractNumId w:val="24"/>
  </w:num>
  <w:num w:numId="17">
    <w:abstractNumId w:val="32"/>
  </w:num>
  <w:num w:numId="18">
    <w:abstractNumId w:val="7"/>
  </w:num>
  <w:num w:numId="19">
    <w:abstractNumId w:val="12"/>
  </w:num>
  <w:num w:numId="20">
    <w:abstractNumId w:val="18"/>
  </w:num>
  <w:num w:numId="21">
    <w:abstractNumId w:val="30"/>
  </w:num>
  <w:num w:numId="22">
    <w:abstractNumId w:val="8"/>
  </w:num>
  <w:num w:numId="23">
    <w:abstractNumId w:val="22"/>
  </w:num>
  <w:num w:numId="24">
    <w:abstractNumId w:val="4"/>
  </w:num>
  <w:num w:numId="25">
    <w:abstractNumId w:val="27"/>
  </w:num>
  <w:num w:numId="26">
    <w:abstractNumId w:val="14"/>
  </w:num>
  <w:num w:numId="27">
    <w:abstractNumId w:val="3"/>
  </w:num>
  <w:num w:numId="28">
    <w:abstractNumId w:val="26"/>
  </w:num>
  <w:num w:numId="29">
    <w:abstractNumId w:val="6"/>
  </w:num>
  <w:num w:numId="30">
    <w:abstractNumId w:val="1"/>
  </w:num>
  <w:num w:numId="31">
    <w:abstractNumId w:val="17"/>
  </w:num>
  <w:num w:numId="32">
    <w:abstractNumId w:val="11"/>
  </w:num>
  <w:num w:numId="33">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33"/>
    <w:rsid w:val="00001462"/>
    <w:rsid w:val="00001837"/>
    <w:rsid w:val="00001A1F"/>
    <w:rsid w:val="00001ADC"/>
    <w:rsid w:val="00001BCB"/>
    <w:rsid w:val="00001BF1"/>
    <w:rsid w:val="00001EDF"/>
    <w:rsid w:val="0000204E"/>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729"/>
    <w:rsid w:val="0000690C"/>
    <w:rsid w:val="00006D37"/>
    <w:rsid w:val="00007533"/>
    <w:rsid w:val="00007889"/>
    <w:rsid w:val="00007AD6"/>
    <w:rsid w:val="00007AE0"/>
    <w:rsid w:val="00007F10"/>
    <w:rsid w:val="00007F20"/>
    <w:rsid w:val="000100D2"/>
    <w:rsid w:val="0001012D"/>
    <w:rsid w:val="0001038D"/>
    <w:rsid w:val="00010B14"/>
    <w:rsid w:val="00010B6C"/>
    <w:rsid w:val="00010DAB"/>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6090"/>
    <w:rsid w:val="00016341"/>
    <w:rsid w:val="0001634C"/>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0DAD"/>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4A0"/>
    <w:rsid w:val="00025658"/>
    <w:rsid w:val="00025B78"/>
    <w:rsid w:val="00025D34"/>
    <w:rsid w:val="00025D3B"/>
    <w:rsid w:val="00025F9F"/>
    <w:rsid w:val="00026AA7"/>
    <w:rsid w:val="0002724D"/>
    <w:rsid w:val="0002786C"/>
    <w:rsid w:val="00027A3C"/>
    <w:rsid w:val="0003016F"/>
    <w:rsid w:val="0003024D"/>
    <w:rsid w:val="00031738"/>
    <w:rsid w:val="000319C0"/>
    <w:rsid w:val="00031A54"/>
    <w:rsid w:val="00031B8A"/>
    <w:rsid w:val="000321D8"/>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09"/>
    <w:rsid w:val="0003518B"/>
    <w:rsid w:val="00035722"/>
    <w:rsid w:val="00035725"/>
    <w:rsid w:val="00035DFE"/>
    <w:rsid w:val="00036696"/>
    <w:rsid w:val="00036917"/>
    <w:rsid w:val="000369AF"/>
    <w:rsid w:val="00036DA7"/>
    <w:rsid w:val="00036F2E"/>
    <w:rsid w:val="00036FC5"/>
    <w:rsid w:val="000373FB"/>
    <w:rsid w:val="0003782E"/>
    <w:rsid w:val="0003786D"/>
    <w:rsid w:val="0003793A"/>
    <w:rsid w:val="00037AAB"/>
    <w:rsid w:val="00037BEB"/>
    <w:rsid w:val="00037D20"/>
    <w:rsid w:val="00037E51"/>
    <w:rsid w:val="000403DE"/>
    <w:rsid w:val="000403E5"/>
    <w:rsid w:val="0004042E"/>
    <w:rsid w:val="000404A6"/>
    <w:rsid w:val="000414D2"/>
    <w:rsid w:val="000415F0"/>
    <w:rsid w:val="00041699"/>
    <w:rsid w:val="00041715"/>
    <w:rsid w:val="00041C5B"/>
    <w:rsid w:val="000423F7"/>
    <w:rsid w:val="00042ADA"/>
    <w:rsid w:val="00043CE6"/>
    <w:rsid w:val="00043E91"/>
    <w:rsid w:val="0004416C"/>
    <w:rsid w:val="00044588"/>
    <w:rsid w:val="000445C0"/>
    <w:rsid w:val="00044B96"/>
    <w:rsid w:val="00045994"/>
    <w:rsid w:val="00045E79"/>
    <w:rsid w:val="0004617F"/>
    <w:rsid w:val="0004620F"/>
    <w:rsid w:val="00046576"/>
    <w:rsid w:val="00046BD6"/>
    <w:rsid w:val="00046C36"/>
    <w:rsid w:val="000472ED"/>
    <w:rsid w:val="000473AF"/>
    <w:rsid w:val="000474F1"/>
    <w:rsid w:val="00047A14"/>
    <w:rsid w:val="00047C54"/>
    <w:rsid w:val="00047E01"/>
    <w:rsid w:val="00047EB1"/>
    <w:rsid w:val="000501EB"/>
    <w:rsid w:val="000502BD"/>
    <w:rsid w:val="000503D2"/>
    <w:rsid w:val="000507A0"/>
    <w:rsid w:val="000507E8"/>
    <w:rsid w:val="00050BAA"/>
    <w:rsid w:val="00050E92"/>
    <w:rsid w:val="00051485"/>
    <w:rsid w:val="000514EA"/>
    <w:rsid w:val="00051FC2"/>
    <w:rsid w:val="0005222A"/>
    <w:rsid w:val="00052465"/>
    <w:rsid w:val="000525E1"/>
    <w:rsid w:val="00052BE7"/>
    <w:rsid w:val="00052C67"/>
    <w:rsid w:val="00052D2F"/>
    <w:rsid w:val="00052F1A"/>
    <w:rsid w:val="00053095"/>
    <w:rsid w:val="0005380A"/>
    <w:rsid w:val="00053AB7"/>
    <w:rsid w:val="00053BF9"/>
    <w:rsid w:val="00054235"/>
    <w:rsid w:val="000542B5"/>
    <w:rsid w:val="00054622"/>
    <w:rsid w:val="00054BAD"/>
    <w:rsid w:val="00054CED"/>
    <w:rsid w:val="00054F40"/>
    <w:rsid w:val="00054FF8"/>
    <w:rsid w:val="00055087"/>
    <w:rsid w:val="000550B8"/>
    <w:rsid w:val="000553DE"/>
    <w:rsid w:val="0005587F"/>
    <w:rsid w:val="00055942"/>
    <w:rsid w:val="00055DC7"/>
    <w:rsid w:val="00055F29"/>
    <w:rsid w:val="00056631"/>
    <w:rsid w:val="00056ADE"/>
    <w:rsid w:val="0005703C"/>
    <w:rsid w:val="000572B0"/>
    <w:rsid w:val="00057481"/>
    <w:rsid w:val="00057896"/>
    <w:rsid w:val="000578B8"/>
    <w:rsid w:val="00057A56"/>
    <w:rsid w:val="00057C70"/>
    <w:rsid w:val="00057D67"/>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A92"/>
    <w:rsid w:val="00062DD3"/>
    <w:rsid w:val="00062E39"/>
    <w:rsid w:val="00062E9D"/>
    <w:rsid w:val="000633FB"/>
    <w:rsid w:val="00063776"/>
    <w:rsid w:val="00063798"/>
    <w:rsid w:val="00063894"/>
    <w:rsid w:val="00063997"/>
    <w:rsid w:val="00064E44"/>
    <w:rsid w:val="00065379"/>
    <w:rsid w:val="00065E11"/>
    <w:rsid w:val="0006602B"/>
    <w:rsid w:val="000666D5"/>
    <w:rsid w:val="00066C0C"/>
    <w:rsid w:val="00066D1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1C"/>
    <w:rsid w:val="00071D9C"/>
    <w:rsid w:val="0007253E"/>
    <w:rsid w:val="000725F2"/>
    <w:rsid w:val="00072953"/>
    <w:rsid w:val="00072998"/>
    <w:rsid w:val="00072BE4"/>
    <w:rsid w:val="00072D04"/>
    <w:rsid w:val="00073046"/>
    <w:rsid w:val="000733C3"/>
    <w:rsid w:val="00073622"/>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C76"/>
    <w:rsid w:val="00083DE3"/>
    <w:rsid w:val="000840C3"/>
    <w:rsid w:val="000848F9"/>
    <w:rsid w:val="00084B36"/>
    <w:rsid w:val="00084BBC"/>
    <w:rsid w:val="00084FF3"/>
    <w:rsid w:val="000850E1"/>
    <w:rsid w:val="0008518A"/>
    <w:rsid w:val="00085AEE"/>
    <w:rsid w:val="00085BD4"/>
    <w:rsid w:val="00085C27"/>
    <w:rsid w:val="00085DE4"/>
    <w:rsid w:val="00085E03"/>
    <w:rsid w:val="0008617D"/>
    <w:rsid w:val="00086246"/>
    <w:rsid w:val="000865C7"/>
    <w:rsid w:val="00086C10"/>
    <w:rsid w:val="00086D89"/>
    <w:rsid w:val="00087061"/>
    <w:rsid w:val="000871E2"/>
    <w:rsid w:val="000875FB"/>
    <w:rsid w:val="0008771A"/>
    <w:rsid w:val="00087A7A"/>
    <w:rsid w:val="00087C6A"/>
    <w:rsid w:val="00087F5E"/>
    <w:rsid w:val="000900C9"/>
    <w:rsid w:val="00090984"/>
    <w:rsid w:val="000910C5"/>
    <w:rsid w:val="00091419"/>
    <w:rsid w:val="00091527"/>
    <w:rsid w:val="00091A61"/>
    <w:rsid w:val="000921FC"/>
    <w:rsid w:val="00092268"/>
    <w:rsid w:val="00092375"/>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62"/>
    <w:rsid w:val="00095181"/>
    <w:rsid w:val="0009523E"/>
    <w:rsid w:val="000956CC"/>
    <w:rsid w:val="00095AF4"/>
    <w:rsid w:val="00095B08"/>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EB0"/>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73F"/>
    <w:rsid w:val="000C0B19"/>
    <w:rsid w:val="000C0C09"/>
    <w:rsid w:val="000C0F4D"/>
    <w:rsid w:val="000C1349"/>
    <w:rsid w:val="000C1A9F"/>
    <w:rsid w:val="000C2058"/>
    <w:rsid w:val="000C21A2"/>
    <w:rsid w:val="000C2300"/>
    <w:rsid w:val="000C259D"/>
    <w:rsid w:val="000C2B5C"/>
    <w:rsid w:val="000C2E07"/>
    <w:rsid w:val="000C2EF6"/>
    <w:rsid w:val="000C3121"/>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3EA"/>
    <w:rsid w:val="000D0461"/>
    <w:rsid w:val="000D0465"/>
    <w:rsid w:val="000D0F6A"/>
    <w:rsid w:val="000D11BF"/>
    <w:rsid w:val="000D1543"/>
    <w:rsid w:val="000D15AB"/>
    <w:rsid w:val="000D1824"/>
    <w:rsid w:val="000D243E"/>
    <w:rsid w:val="000D26B1"/>
    <w:rsid w:val="000D2BBB"/>
    <w:rsid w:val="000D2E77"/>
    <w:rsid w:val="000D3567"/>
    <w:rsid w:val="000D3C4A"/>
    <w:rsid w:val="000D3C58"/>
    <w:rsid w:val="000D4832"/>
    <w:rsid w:val="000D4E5A"/>
    <w:rsid w:val="000D4F4F"/>
    <w:rsid w:val="000D54AA"/>
    <w:rsid w:val="000D571C"/>
    <w:rsid w:val="000D5734"/>
    <w:rsid w:val="000D58CF"/>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5A0"/>
    <w:rsid w:val="000E0680"/>
    <w:rsid w:val="000E070C"/>
    <w:rsid w:val="000E0751"/>
    <w:rsid w:val="000E07C3"/>
    <w:rsid w:val="000E0C99"/>
    <w:rsid w:val="000E1120"/>
    <w:rsid w:val="000E1366"/>
    <w:rsid w:val="000E1B84"/>
    <w:rsid w:val="000E207F"/>
    <w:rsid w:val="000E2243"/>
    <w:rsid w:val="000E263F"/>
    <w:rsid w:val="000E2F84"/>
    <w:rsid w:val="000E31E6"/>
    <w:rsid w:val="000E3C68"/>
    <w:rsid w:val="000E3F97"/>
    <w:rsid w:val="000E416E"/>
    <w:rsid w:val="000E44C6"/>
    <w:rsid w:val="000E502E"/>
    <w:rsid w:val="000E50BF"/>
    <w:rsid w:val="000E50FE"/>
    <w:rsid w:val="000E54E1"/>
    <w:rsid w:val="000E5631"/>
    <w:rsid w:val="000E5796"/>
    <w:rsid w:val="000E58B4"/>
    <w:rsid w:val="000E598D"/>
    <w:rsid w:val="000E5AA1"/>
    <w:rsid w:val="000E620A"/>
    <w:rsid w:val="000E6432"/>
    <w:rsid w:val="000E6571"/>
    <w:rsid w:val="000E6653"/>
    <w:rsid w:val="000E7B66"/>
    <w:rsid w:val="000E7D44"/>
    <w:rsid w:val="000F0059"/>
    <w:rsid w:val="000F01EC"/>
    <w:rsid w:val="000F04D8"/>
    <w:rsid w:val="000F0687"/>
    <w:rsid w:val="000F076D"/>
    <w:rsid w:val="000F095C"/>
    <w:rsid w:val="000F0B03"/>
    <w:rsid w:val="000F1962"/>
    <w:rsid w:val="000F1C51"/>
    <w:rsid w:val="000F1EBD"/>
    <w:rsid w:val="000F1FA9"/>
    <w:rsid w:val="000F2050"/>
    <w:rsid w:val="000F256C"/>
    <w:rsid w:val="000F27F8"/>
    <w:rsid w:val="000F2C7F"/>
    <w:rsid w:val="000F2C9D"/>
    <w:rsid w:val="000F2DEA"/>
    <w:rsid w:val="000F2E02"/>
    <w:rsid w:val="000F2E42"/>
    <w:rsid w:val="000F3221"/>
    <w:rsid w:val="000F336B"/>
    <w:rsid w:val="000F37BF"/>
    <w:rsid w:val="000F3A57"/>
    <w:rsid w:val="000F3D3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82B"/>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7FD"/>
    <w:rsid w:val="00106A25"/>
    <w:rsid w:val="00106A3B"/>
    <w:rsid w:val="00106A97"/>
    <w:rsid w:val="00106F4C"/>
    <w:rsid w:val="00107259"/>
    <w:rsid w:val="0010732C"/>
    <w:rsid w:val="00107357"/>
    <w:rsid w:val="00107726"/>
    <w:rsid w:val="0010789B"/>
    <w:rsid w:val="001078B7"/>
    <w:rsid w:val="00107934"/>
    <w:rsid w:val="00107C51"/>
    <w:rsid w:val="0011024A"/>
    <w:rsid w:val="00110808"/>
    <w:rsid w:val="00110847"/>
    <w:rsid w:val="001113E5"/>
    <w:rsid w:val="00111506"/>
    <w:rsid w:val="00111A25"/>
    <w:rsid w:val="00111B38"/>
    <w:rsid w:val="00111B99"/>
    <w:rsid w:val="00111DB2"/>
    <w:rsid w:val="001120E4"/>
    <w:rsid w:val="00112138"/>
    <w:rsid w:val="0011220C"/>
    <w:rsid w:val="0011222D"/>
    <w:rsid w:val="001122B9"/>
    <w:rsid w:val="001125A4"/>
    <w:rsid w:val="00112926"/>
    <w:rsid w:val="00112BD9"/>
    <w:rsid w:val="00113B73"/>
    <w:rsid w:val="00113CA5"/>
    <w:rsid w:val="001144F2"/>
    <w:rsid w:val="0011482B"/>
    <w:rsid w:val="0011487C"/>
    <w:rsid w:val="00114A0A"/>
    <w:rsid w:val="00114F13"/>
    <w:rsid w:val="001152D7"/>
    <w:rsid w:val="00115371"/>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045"/>
    <w:rsid w:val="001302E3"/>
    <w:rsid w:val="00130934"/>
    <w:rsid w:val="00131429"/>
    <w:rsid w:val="00131529"/>
    <w:rsid w:val="00131838"/>
    <w:rsid w:val="00131A24"/>
    <w:rsid w:val="00131D85"/>
    <w:rsid w:val="001321E2"/>
    <w:rsid w:val="001321FF"/>
    <w:rsid w:val="00132904"/>
    <w:rsid w:val="00132A84"/>
    <w:rsid w:val="00132B84"/>
    <w:rsid w:val="00132C75"/>
    <w:rsid w:val="00132CE9"/>
    <w:rsid w:val="001331DC"/>
    <w:rsid w:val="0013345D"/>
    <w:rsid w:val="001338CD"/>
    <w:rsid w:val="00133F70"/>
    <w:rsid w:val="001348BE"/>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AFB"/>
    <w:rsid w:val="00137BDD"/>
    <w:rsid w:val="00137E66"/>
    <w:rsid w:val="00137E97"/>
    <w:rsid w:val="0014009D"/>
    <w:rsid w:val="00140A47"/>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72"/>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A5A"/>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3F28"/>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531"/>
    <w:rsid w:val="00162932"/>
    <w:rsid w:val="00163495"/>
    <w:rsid w:val="00163A81"/>
    <w:rsid w:val="00163ACD"/>
    <w:rsid w:val="00163B03"/>
    <w:rsid w:val="00163F8B"/>
    <w:rsid w:val="00164234"/>
    <w:rsid w:val="00164516"/>
    <w:rsid w:val="00164694"/>
    <w:rsid w:val="00164BB1"/>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711"/>
    <w:rsid w:val="0017290D"/>
    <w:rsid w:val="00172B5B"/>
    <w:rsid w:val="00172BBC"/>
    <w:rsid w:val="00172CA9"/>
    <w:rsid w:val="00172DB4"/>
    <w:rsid w:val="001731B5"/>
    <w:rsid w:val="001736A5"/>
    <w:rsid w:val="00173A9E"/>
    <w:rsid w:val="00173AA0"/>
    <w:rsid w:val="00173CFF"/>
    <w:rsid w:val="00173ECD"/>
    <w:rsid w:val="00173F53"/>
    <w:rsid w:val="00174461"/>
    <w:rsid w:val="001745B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6FB"/>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870"/>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ADA"/>
    <w:rsid w:val="00184F5E"/>
    <w:rsid w:val="00185178"/>
    <w:rsid w:val="0018521B"/>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15"/>
    <w:rsid w:val="001912DD"/>
    <w:rsid w:val="001914D1"/>
    <w:rsid w:val="00191569"/>
    <w:rsid w:val="00191698"/>
    <w:rsid w:val="001916F5"/>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0E3"/>
    <w:rsid w:val="0019422D"/>
    <w:rsid w:val="00194674"/>
    <w:rsid w:val="0019489E"/>
    <w:rsid w:val="00194F9B"/>
    <w:rsid w:val="00195253"/>
    <w:rsid w:val="0019533E"/>
    <w:rsid w:val="00195944"/>
    <w:rsid w:val="0019606F"/>
    <w:rsid w:val="001965F0"/>
    <w:rsid w:val="0019672E"/>
    <w:rsid w:val="00196A2D"/>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9B"/>
    <w:rsid w:val="001A19DB"/>
    <w:rsid w:val="001A204D"/>
    <w:rsid w:val="001A2590"/>
    <w:rsid w:val="001A2C68"/>
    <w:rsid w:val="001A2DE5"/>
    <w:rsid w:val="001A2F38"/>
    <w:rsid w:val="001A311E"/>
    <w:rsid w:val="001A3AC1"/>
    <w:rsid w:val="001A3B3E"/>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374"/>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40D"/>
    <w:rsid w:val="001B65E6"/>
    <w:rsid w:val="001B6625"/>
    <w:rsid w:val="001B6F97"/>
    <w:rsid w:val="001B6FAA"/>
    <w:rsid w:val="001B703A"/>
    <w:rsid w:val="001B7187"/>
    <w:rsid w:val="001B71B9"/>
    <w:rsid w:val="001B771F"/>
    <w:rsid w:val="001B775C"/>
    <w:rsid w:val="001B7D68"/>
    <w:rsid w:val="001C06AE"/>
    <w:rsid w:val="001C093F"/>
    <w:rsid w:val="001C0992"/>
    <w:rsid w:val="001C0BA7"/>
    <w:rsid w:val="001C0FAE"/>
    <w:rsid w:val="001C12E0"/>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A49"/>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53D"/>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07C"/>
    <w:rsid w:val="001D5150"/>
    <w:rsid w:val="001D51DF"/>
    <w:rsid w:val="001D5267"/>
    <w:rsid w:val="001D59AA"/>
    <w:rsid w:val="001D5A30"/>
    <w:rsid w:val="001D5EB7"/>
    <w:rsid w:val="001D64EB"/>
    <w:rsid w:val="001D68B0"/>
    <w:rsid w:val="001D6C5A"/>
    <w:rsid w:val="001D6E91"/>
    <w:rsid w:val="001D6FCC"/>
    <w:rsid w:val="001D6FD0"/>
    <w:rsid w:val="001D71E5"/>
    <w:rsid w:val="001D77CC"/>
    <w:rsid w:val="001D78D8"/>
    <w:rsid w:val="001D7A80"/>
    <w:rsid w:val="001D7B0C"/>
    <w:rsid w:val="001E07DC"/>
    <w:rsid w:val="001E082B"/>
    <w:rsid w:val="001E0A58"/>
    <w:rsid w:val="001E0E1E"/>
    <w:rsid w:val="001E1A59"/>
    <w:rsid w:val="001E1ACD"/>
    <w:rsid w:val="001E2AD4"/>
    <w:rsid w:val="001E421A"/>
    <w:rsid w:val="001E4282"/>
    <w:rsid w:val="001E42AC"/>
    <w:rsid w:val="001E42D7"/>
    <w:rsid w:val="001E4340"/>
    <w:rsid w:val="001E4B78"/>
    <w:rsid w:val="001E4D18"/>
    <w:rsid w:val="001E4F6D"/>
    <w:rsid w:val="001E598E"/>
    <w:rsid w:val="001E5CBC"/>
    <w:rsid w:val="001E5F87"/>
    <w:rsid w:val="001E6BB3"/>
    <w:rsid w:val="001E6FC3"/>
    <w:rsid w:val="001E71B9"/>
    <w:rsid w:val="001E761E"/>
    <w:rsid w:val="001E763D"/>
    <w:rsid w:val="001E7814"/>
    <w:rsid w:val="001E7855"/>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DB3"/>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0DCC"/>
    <w:rsid w:val="0021156E"/>
    <w:rsid w:val="002123E7"/>
    <w:rsid w:val="00212447"/>
    <w:rsid w:val="002126E1"/>
    <w:rsid w:val="0021281B"/>
    <w:rsid w:val="00212DEA"/>
    <w:rsid w:val="00213827"/>
    <w:rsid w:val="00213BD3"/>
    <w:rsid w:val="00213F56"/>
    <w:rsid w:val="0021460B"/>
    <w:rsid w:val="0021506F"/>
    <w:rsid w:val="00215106"/>
    <w:rsid w:val="0021533F"/>
    <w:rsid w:val="002154CD"/>
    <w:rsid w:val="002155C0"/>
    <w:rsid w:val="002155FA"/>
    <w:rsid w:val="00215643"/>
    <w:rsid w:val="0021564B"/>
    <w:rsid w:val="00215945"/>
    <w:rsid w:val="00215A03"/>
    <w:rsid w:val="00216178"/>
    <w:rsid w:val="0021680A"/>
    <w:rsid w:val="0021681A"/>
    <w:rsid w:val="00216A57"/>
    <w:rsid w:val="00216E6E"/>
    <w:rsid w:val="002170E2"/>
    <w:rsid w:val="002176A6"/>
    <w:rsid w:val="00217B9A"/>
    <w:rsid w:val="00217D09"/>
    <w:rsid w:val="00217D55"/>
    <w:rsid w:val="00217E0D"/>
    <w:rsid w:val="00220533"/>
    <w:rsid w:val="00221A81"/>
    <w:rsid w:val="0022207C"/>
    <w:rsid w:val="00222A2D"/>
    <w:rsid w:val="0022341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1FF"/>
    <w:rsid w:val="00230FD0"/>
    <w:rsid w:val="00231259"/>
    <w:rsid w:val="002318EF"/>
    <w:rsid w:val="0023194B"/>
    <w:rsid w:val="00231BE1"/>
    <w:rsid w:val="00231D85"/>
    <w:rsid w:val="00231E77"/>
    <w:rsid w:val="0023221D"/>
    <w:rsid w:val="00232477"/>
    <w:rsid w:val="00232FB9"/>
    <w:rsid w:val="00232FD4"/>
    <w:rsid w:val="002332EC"/>
    <w:rsid w:val="00233553"/>
    <w:rsid w:val="00233B17"/>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37F96"/>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68C"/>
    <w:rsid w:val="00244A1A"/>
    <w:rsid w:val="002455B8"/>
    <w:rsid w:val="00245C48"/>
    <w:rsid w:val="00246630"/>
    <w:rsid w:val="0024663E"/>
    <w:rsid w:val="00246850"/>
    <w:rsid w:val="00246BC3"/>
    <w:rsid w:val="00246CBE"/>
    <w:rsid w:val="00246E7C"/>
    <w:rsid w:val="00246EE1"/>
    <w:rsid w:val="00247478"/>
    <w:rsid w:val="00247712"/>
    <w:rsid w:val="00247BE8"/>
    <w:rsid w:val="00247CD5"/>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122"/>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61"/>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2EF"/>
    <w:rsid w:val="002813EE"/>
    <w:rsid w:val="002816C6"/>
    <w:rsid w:val="00281845"/>
    <w:rsid w:val="00281925"/>
    <w:rsid w:val="00281FDC"/>
    <w:rsid w:val="002822E8"/>
    <w:rsid w:val="00282519"/>
    <w:rsid w:val="00282932"/>
    <w:rsid w:val="002831C2"/>
    <w:rsid w:val="00283873"/>
    <w:rsid w:val="00283CE9"/>
    <w:rsid w:val="00284134"/>
    <w:rsid w:val="00284247"/>
    <w:rsid w:val="002842D2"/>
    <w:rsid w:val="00284378"/>
    <w:rsid w:val="00284580"/>
    <w:rsid w:val="002845F9"/>
    <w:rsid w:val="00284CB7"/>
    <w:rsid w:val="00284D8D"/>
    <w:rsid w:val="00285A72"/>
    <w:rsid w:val="00285C5B"/>
    <w:rsid w:val="00285C5E"/>
    <w:rsid w:val="00286450"/>
    <w:rsid w:val="0028682C"/>
    <w:rsid w:val="00286A2C"/>
    <w:rsid w:val="00286AB3"/>
    <w:rsid w:val="00287C39"/>
    <w:rsid w:val="00287CA4"/>
    <w:rsid w:val="00287EFB"/>
    <w:rsid w:val="0029095B"/>
    <w:rsid w:val="00290B66"/>
    <w:rsid w:val="00291422"/>
    <w:rsid w:val="0029154E"/>
    <w:rsid w:val="00291632"/>
    <w:rsid w:val="002919BF"/>
    <w:rsid w:val="002919C2"/>
    <w:rsid w:val="00291B1F"/>
    <w:rsid w:val="00291B85"/>
    <w:rsid w:val="002921E1"/>
    <w:rsid w:val="0029261E"/>
    <w:rsid w:val="0029318A"/>
    <w:rsid w:val="00293863"/>
    <w:rsid w:val="00293F93"/>
    <w:rsid w:val="00293FD8"/>
    <w:rsid w:val="00294080"/>
    <w:rsid w:val="002940A5"/>
    <w:rsid w:val="0029413D"/>
    <w:rsid w:val="00294758"/>
    <w:rsid w:val="00294BC6"/>
    <w:rsid w:val="00294D10"/>
    <w:rsid w:val="0029524E"/>
    <w:rsid w:val="00295402"/>
    <w:rsid w:val="002954C1"/>
    <w:rsid w:val="002955C6"/>
    <w:rsid w:val="00295C66"/>
    <w:rsid w:val="00295E9E"/>
    <w:rsid w:val="00296055"/>
    <w:rsid w:val="002963B5"/>
    <w:rsid w:val="002964D0"/>
    <w:rsid w:val="00296AA3"/>
    <w:rsid w:val="00296BD3"/>
    <w:rsid w:val="00297214"/>
    <w:rsid w:val="00297333"/>
    <w:rsid w:val="0029746C"/>
    <w:rsid w:val="00297552"/>
    <w:rsid w:val="00297954"/>
    <w:rsid w:val="00297E6E"/>
    <w:rsid w:val="002A0193"/>
    <w:rsid w:val="002A037C"/>
    <w:rsid w:val="002A0F03"/>
    <w:rsid w:val="002A11FB"/>
    <w:rsid w:val="002A121A"/>
    <w:rsid w:val="002A16ED"/>
    <w:rsid w:val="002A1A23"/>
    <w:rsid w:val="002A1C9F"/>
    <w:rsid w:val="002A20EF"/>
    <w:rsid w:val="002A25B1"/>
    <w:rsid w:val="002A268B"/>
    <w:rsid w:val="002A2CE3"/>
    <w:rsid w:val="002A2EC8"/>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1A1"/>
    <w:rsid w:val="002A6291"/>
    <w:rsid w:val="002A62E3"/>
    <w:rsid w:val="002A65DB"/>
    <w:rsid w:val="002A702B"/>
    <w:rsid w:val="002A70C0"/>
    <w:rsid w:val="002A793F"/>
    <w:rsid w:val="002A7FA3"/>
    <w:rsid w:val="002B0222"/>
    <w:rsid w:val="002B0A76"/>
    <w:rsid w:val="002B1254"/>
    <w:rsid w:val="002B1321"/>
    <w:rsid w:val="002B15ED"/>
    <w:rsid w:val="002B1DCF"/>
    <w:rsid w:val="002B2035"/>
    <w:rsid w:val="002B2210"/>
    <w:rsid w:val="002B2385"/>
    <w:rsid w:val="002B25D5"/>
    <w:rsid w:val="002B27F7"/>
    <w:rsid w:val="002B2968"/>
    <w:rsid w:val="002B2DFE"/>
    <w:rsid w:val="002B2EA2"/>
    <w:rsid w:val="002B2F02"/>
    <w:rsid w:val="002B2F10"/>
    <w:rsid w:val="002B2F47"/>
    <w:rsid w:val="002B3189"/>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03A"/>
    <w:rsid w:val="002B58EE"/>
    <w:rsid w:val="002B5919"/>
    <w:rsid w:val="002B5CEE"/>
    <w:rsid w:val="002B5F72"/>
    <w:rsid w:val="002B63B8"/>
    <w:rsid w:val="002B661D"/>
    <w:rsid w:val="002B6B5F"/>
    <w:rsid w:val="002B6D4C"/>
    <w:rsid w:val="002B6F46"/>
    <w:rsid w:val="002B71AE"/>
    <w:rsid w:val="002B7268"/>
    <w:rsid w:val="002B7618"/>
    <w:rsid w:val="002B7874"/>
    <w:rsid w:val="002B798A"/>
    <w:rsid w:val="002B7A4F"/>
    <w:rsid w:val="002B7E18"/>
    <w:rsid w:val="002B7F7A"/>
    <w:rsid w:val="002C03AA"/>
    <w:rsid w:val="002C109C"/>
    <w:rsid w:val="002C135E"/>
    <w:rsid w:val="002C1402"/>
    <w:rsid w:val="002C19AB"/>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7B"/>
    <w:rsid w:val="002C43A7"/>
    <w:rsid w:val="002C4703"/>
    <w:rsid w:val="002C4B70"/>
    <w:rsid w:val="002C4BAA"/>
    <w:rsid w:val="002C4BFC"/>
    <w:rsid w:val="002C4F24"/>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0EB8"/>
    <w:rsid w:val="002D188F"/>
    <w:rsid w:val="002D1B19"/>
    <w:rsid w:val="002D217F"/>
    <w:rsid w:val="002D21BE"/>
    <w:rsid w:val="002D22FE"/>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BB1"/>
    <w:rsid w:val="002D3C3B"/>
    <w:rsid w:val="002D3C6C"/>
    <w:rsid w:val="002D3D4A"/>
    <w:rsid w:val="002D3EAD"/>
    <w:rsid w:val="002D3F09"/>
    <w:rsid w:val="002D4040"/>
    <w:rsid w:val="002D41B3"/>
    <w:rsid w:val="002D4F96"/>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426"/>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A2"/>
    <w:rsid w:val="002E5BF8"/>
    <w:rsid w:val="002E5F67"/>
    <w:rsid w:val="002E648C"/>
    <w:rsid w:val="002E66A6"/>
    <w:rsid w:val="002E6A65"/>
    <w:rsid w:val="002E6E1D"/>
    <w:rsid w:val="002E6F91"/>
    <w:rsid w:val="002E6FB5"/>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A7D"/>
    <w:rsid w:val="002F4AB3"/>
    <w:rsid w:val="002F4F8C"/>
    <w:rsid w:val="002F51D2"/>
    <w:rsid w:val="002F5712"/>
    <w:rsid w:val="002F591D"/>
    <w:rsid w:val="002F6001"/>
    <w:rsid w:val="002F63DA"/>
    <w:rsid w:val="002F65D7"/>
    <w:rsid w:val="002F6B38"/>
    <w:rsid w:val="002F7955"/>
    <w:rsid w:val="003004D5"/>
    <w:rsid w:val="00300D1B"/>
    <w:rsid w:val="00300E7A"/>
    <w:rsid w:val="00301A35"/>
    <w:rsid w:val="00301E52"/>
    <w:rsid w:val="00302104"/>
    <w:rsid w:val="003023A6"/>
    <w:rsid w:val="00302595"/>
    <w:rsid w:val="003029BB"/>
    <w:rsid w:val="003029D7"/>
    <w:rsid w:val="00302A0D"/>
    <w:rsid w:val="00302BA1"/>
    <w:rsid w:val="00303010"/>
    <w:rsid w:val="00303298"/>
    <w:rsid w:val="0030361D"/>
    <w:rsid w:val="00303765"/>
    <w:rsid w:val="003039E2"/>
    <w:rsid w:val="00303C9D"/>
    <w:rsid w:val="00303E27"/>
    <w:rsid w:val="00303E7C"/>
    <w:rsid w:val="00304199"/>
    <w:rsid w:val="003044BB"/>
    <w:rsid w:val="00304969"/>
    <w:rsid w:val="00304ADB"/>
    <w:rsid w:val="00304B92"/>
    <w:rsid w:val="00304E15"/>
    <w:rsid w:val="00305456"/>
    <w:rsid w:val="003058CC"/>
    <w:rsid w:val="00305AD0"/>
    <w:rsid w:val="00305BB9"/>
    <w:rsid w:val="00305C70"/>
    <w:rsid w:val="00305DF2"/>
    <w:rsid w:val="003062E0"/>
    <w:rsid w:val="003072BE"/>
    <w:rsid w:val="0030736D"/>
    <w:rsid w:val="003073D5"/>
    <w:rsid w:val="003075B3"/>
    <w:rsid w:val="003075D0"/>
    <w:rsid w:val="00307A7D"/>
    <w:rsid w:val="00307BCE"/>
    <w:rsid w:val="00310797"/>
    <w:rsid w:val="00310CB5"/>
    <w:rsid w:val="0031179F"/>
    <w:rsid w:val="003118D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06E"/>
    <w:rsid w:val="00320A48"/>
    <w:rsid w:val="00320C55"/>
    <w:rsid w:val="003217BA"/>
    <w:rsid w:val="00321949"/>
    <w:rsid w:val="003220A7"/>
    <w:rsid w:val="00323A47"/>
    <w:rsid w:val="00323AAF"/>
    <w:rsid w:val="00323C81"/>
    <w:rsid w:val="00323CE7"/>
    <w:rsid w:val="00323D79"/>
    <w:rsid w:val="00324168"/>
    <w:rsid w:val="0032419D"/>
    <w:rsid w:val="003242C7"/>
    <w:rsid w:val="003246E1"/>
    <w:rsid w:val="00325742"/>
    <w:rsid w:val="00325762"/>
    <w:rsid w:val="00325BD1"/>
    <w:rsid w:val="00325BF4"/>
    <w:rsid w:val="00326195"/>
    <w:rsid w:val="003261C1"/>
    <w:rsid w:val="00326330"/>
    <w:rsid w:val="003263C1"/>
    <w:rsid w:val="00326A65"/>
    <w:rsid w:val="00326FAF"/>
    <w:rsid w:val="00326FF5"/>
    <w:rsid w:val="0032744B"/>
    <w:rsid w:val="00327554"/>
    <w:rsid w:val="00327811"/>
    <w:rsid w:val="0032796E"/>
    <w:rsid w:val="0032799F"/>
    <w:rsid w:val="00327BFA"/>
    <w:rsid w:val="00327D7E"/>
    <w:rsid w:val="003302D9"/>
    <w:rsid w:val="00330417"/>
    <w:rsid w:val="0033060E"/>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6D6E"/>
    <w:rsid w:val="00336DDE"/>
    <w:rsid w:val="00337209"/>
    <w:rsid w:val="003372D4"/>
    <w:rsid w:val="00337408"/>
    <w:rsid w:val="00337549"/>
    <w:rsid w:val="003378FA"/>
    <w:rsid w:val="00337E9E"/>
    <w:rsid w:val="00337F80"/>
    <w:rsid w:val="0034084C"/>
    <w:rsid w:val="00340C21"/>
    <w:rsid w:val="00341864"/>
    <w:rsid w:val="00341A13"/>
    <w:rsid w:val="00341A4F"/>
    <w:rsid w:val="00341BB0"/>
    <w:rsid w:val="00341F8E"/>
    <w:rsid w:val="00341FA9"/>
    <w:rsid w:val="003428FB"/>
    <w:rsid w:val="00342C28"/>
    <w:rsid w:val="003430E8"/>
    <w:rsid w:val="003437C5"/>
    <w:rsid w:val="00343A6E"/>
    <w:rsid w:val="00343FD4"/>
    <w:rsid w:val="00344149"/>
    <w:rsid w:val="003442F3"/>
    <w:rsid w:val="00344430"/>
    <w:rsid w:val="00344BB9"/>
    <w:rsid w:val="00344F44"/>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151"/>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88D"/>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0"/>
    <w:rsid w:val="0036440B"/>
    <w:rsid w:val="00364414"/>
    <w:rsid w:val="0036482F"/>
    <w:rsid w:val="00364890"/>
    <w:rsid w:val="0036506C"/>
    <w:rsid w:val="00365397"/>
    <w:rsid w:val="003654B4"/>
    <w:rsid w:val="0036576C"/>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6BE"/>
    <w:rsid w:val="00371998"/>
    <w:rsid w:val="00371D3A"/>
    <w:rsid w:val="00371FFA"/>
    <w:rsid w:val="0037216D"/>
    <w:rsid w:val="0037232D"/>
    <w:rsid w:val="00372364"/>
    <w:rsid w:val="00372397"/>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46E"/>
    <w:rsid w:val="0037676D"/>
    <w:rsid w:val="003767C1"/>
    <w:rsid w:val="00376A26"/>
    <w:rsid w:val="00376D5F"/>
    <w:rsid w:val="00376FA8"/>
    <w:rsid w:val="0037742E"/>
    <w:rsid w:val="00377F9D"/>
    <w:rsid w:val="00380463"/>
    <w:rsid w:val="003807DC"/>
    <w:rsid w:val="003807EE"/>
    <w:rsid w:val="0038099F"/>
    <w:rsid w:val="00380C89"/>
    <w:rsid w:val="00380E50"/>
    <w:rsid w:val="0038105E"/>
    <w:rsid w:val="003810E2"/>
    <w:rsid w:val="0038128B"/>
    <w:rsid w:val="00381558"/>
    <w:rsid w:val="003816E2"/>
    <w:rsid w:val="003817DE"/>
    <w:rsid w:val="00381A10"/>
    <w:rsid w:val="00381ABB"/>
    <w:rsid w:val="00381D2F"/>
    <w:rsid w:val="00381F11"/>
    <w:rsid w:val="00382089"/>
    <w:rsid w:val="00382C1A"/>
    <w:rsid w:val="00382DD5"/>
    <w:rsid w:val="00383841"/>
    <w:rsid w:val="00383E36"/>
    <w:rsid w:val="0038414D"/>
    <w:rsid w:val="003842DC"/>
    <w:rsid w:val="0038465F"/>
    <w:rsid w:val="003846AA"/>
    <w:rsid w:val="00384ABA"/>
    <w:rsid w:val="00385C0E"/>
    <w:rsid w:val="00385C2F"/>
    <w:rsid w:val="00386062"/>
    <w:rsid w:val="003860AA"/>
    <w:rsid w:val="00386457"/>
    <w:rsid w:val="00386D3B"/>
    <w:rsid w:val="00387320"/>
    <w:rsid w:val="003873B7"/>
    <w:rsid w:val="0038787C"/>
    <w:rsid w:val="00387DE1"/>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BDC"/>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A15"/>
    <w:rsid w:val="003A0BD9"/>
    <w:rsid w:val="003A0DD8"/>
    <w:rsid w:val="003A0F1E"/>
    <w:rsid w:val="003A0FFB"/>
    <w:rsid w:val="003A10AB"/>
    <w:rsid w:val="003A1221"/>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AA"/>
    <w:rsid w:val="003A5FEA"/>
    <w:rsid w:val="003A6131"/>
    <w:rsid w:val="003A6356"/>
    <w:rsid w:val="003A674A"/>
    <w:rsid w:val="003A6997"/>
    <w:rsid w:val="003A6FDE"/>
    <w:rsid w:val="003A7102"/>
    <w:rsid w:val="003A7948"/>
    <w:rsid w:val="003A7FC8"/>
    <w:rsid w:val="003B002F"/>
    <w:rsid w:val="003B024F"/>
    <w:rsid w:val="003B0899"/>
    <w:rsid w:val="003B1151"/>
    <w:rsid w:val="003B12DF"/>
    <w:rsid w:val="003B1373"/>
    <w:rsid w:val="003B13AB"/>
    <w:rsid w:val="003B16AD"/>
    <w:rsid w:val="003B182D"/>
    <w:rsid w:val="003B199A"/>
    <w:rsid w:val="003B1C92"/>
    <w:rsid w:val="003B23BC"/>
    <w:rsid w:val="003B277C"/>
    <w:rsid w:val="003B2B70"/>
    <w:rsid w:val="003B2BDA"/>
    <w:rsid w:val="003B2D5F"/>
    <w:rsid w:val="003B2F69"/>
    <w:rsid w:val="003B2FBF"/>
    <w:rsid w:val="003B348C"/>
    <w:rsid w:val="003B35AA"/>
    <w:rsid w:val="003B394C"/>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2E92"/>
    <w:rsid w:val="003C2FD3"/>
    <w:rsid w:val="003C301F"/>
    <w:rsid w:val="003C314B"/>
    <w:rsid w:val="003C35B0"/>
    <w:rsid w:val="003C35C1"/>
    <w:rsid w:val="003C3975"/>
    <w:rsid w:val="003C3A50"/>
    <w:rsid w:val="003C3E0D"/>
    <w:rsid w:val="003C3F78"/>
    <w:rsid w:val="003C42F9"/>
    <w:rsid w:val="003C43A9"/>
    <w:rsid w:val="003C46E2"/>
    <w:rsid w:val="003C4A75"/>
    <w:rsid w:val="003C4F71"/>
    <w:rsid w:val="003C4FCB"/>
    <w:rsid w:val="003C520B"/>
    <w:rsid w:val="003C5339"/>
    <w:rsid w:val="003C5616"/>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1DDB"/>
    <w:rsid w:val="003D2077"/>
    <w:rsid w:val="003D2275"/>
    <w:rsid w:val="003D2333"/>
    <w:rsid w:val="003D293C"/>
    <w:rsid w:val="003D2E14"/>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D6F"/>
    <w:rsid w:val="003D4FC1"/>
    <w:rsid w:val="003D513E"/>
    <w:rsid w:val="003D5411"/>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1CD7"/>
    <w:rsid w:val="003E1ED7"/>
    <w:rsid w:val="003E2EDA"/>
    <w:rsid w:val="003E33FB"/>
    <w:rsid w:val="003E354D"/>
    <w:rsid w:val="003E35B0"/>
    <w:rsid w:val="003E37F5"/>
    <w:rsid w:val="003E39FC"/>
    <w:rsid w:val="003E3D8F"/>
    <w:rsid w:val="003E4C21"/>
    <w:rsid w:val="003E4C7A"/>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2AE"/>
    <w:rsid w:val="003F0885"/>
    <w:rsid w:val="003F0A58"/>
    <w:rsid w:val="003F0E1A"/>
    <w:rsid w:val="003F0E72"/>
    <w:rsid w:val="003F0F4D"/>
    <w:rsid w:val="003F16F9"/>
    <w:rsid w:val="003F1CB5"/>
    <w:rsid w:val="003F1DB8"/>
    <w:rsid w:val="003F1E22"/>
    <w:rsid w:val="003F1E84"/>
    <w:rsid w:val="003F265C"/>
    <w:rsid w:val="003F2E99"/>
    <w:rsid w:val="003F3021"/>
    <w:rsid w:val="003F376E"/>
    <w:rsid w:val="003F3843"/>
    <w:rsid w:val="003F42D6"/>
    <w:rsid w:val="003F43B0"/>
    <w:rsid w:val="003F4CA0"/>
    <w:rsid w:val="003F4D1B"/>
    <w:rsid w:val="003F4D3E"/>
    <w:rsid w:val="003F50EA"/>
    <w:rsid w:val="003F5690"/>
    <w:rsid w:val="003F57D4"/>
    <w:rsid w:val="003F58AD"/>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04D"/>
    <w:rsid w:val="00407198"/>
    <w:rsid w:val="00407271"/>
    <w:rsid w:val="00407364"/>
    <w:rsid w:val="00407FDF"/>
    <w:rsid w:val="004100A9"/>
    <w:rsid w:val="00410481"/>
    <w:rsid w:val="00410511"/>
    <w:rsid w:val="0041059D"/>
    <w:rsid w:val="004108C9"/>
    <w:rsid w:val="00410BD0"/>
    <w:rsid w:val="00410C35"/>
    <w:rsid w:val="00410DEE"/>
    <w:rsid w:val="00410E1F"/>
    <w:rsid w:val="00410F73"/>
    <w:rsid w:val="00411257"/>
    <w:rsid w:val="00411CF2"/>
    <w:rsid w:val="00411E93"/>
    <w:rsid w:val="00411EF6"/>
    <w:rsid w:val="00412316"/>
    <w:rsid w:val="0041251F"/>
    <w:rsid w:val="00412791"/>
    <w:rsid w:val="0041298B"/>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17DA5"/>
    <w:rsid w:val="00417DFE"/>
    <w:rsid w:val="0042004F"/>
    <w:rsid w:val="004200A4"/>
    <w:rsid w:val="0042022F"/>
    <w:rsid w:val="00420BA7"/>
    <w:rsid w:val="00420CEA"/>
    <w:rsid w:val="00421524"/>
    <w:rsid w:val="004216BB"/>
    <w:rsid w:val="004216D1"/>
    <w:rsid w:val="0042197B"/>
    <w:rsid w:val="00421A98"/>
    <w:rsid w:val="00421D4D"/>
    <w:rsid w:val="004220E4"/>
    <w:rsid w:val="004221DA"/>
    <w:rsid w:val="00422655"/>
    <w:rsid w:val="004226F8"/>
    <w:rsid w:val="00422E43"/>
    <w:rsid w:val="00422F00"/>
    <w:rsid w:val="0042318D"/>
    <w:rsid w:val="004233B6"/>
    <w:rsid w:val="00423704"/>
    <w:rsid w:val="00423C95"/>
    <w:rsid w:val="00423E62"/>
    <w:rsid w:val="00424057"/>
    <w:rsid w:val="004243F4"/>
    <w:rsid w:val="004245AB"/>
    <w:rsid w:val="00424842"/>
    <w:rsid w:val="004249EC"/>
    <w:rsid w:val="00424BB9"/>
    <w:rsid w:val="00424C5B"/>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2C1"/>
    <w:rsid w:val="00430526"/>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273"/>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9B7"/>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4DA2"/>
    <w:rsid w:val="0044567A"/>
    <w:rsid w:val="004456A4"/>
    <w:rsid w:val="00445846"/>
    <w:rsid w:val="00445BB3"/>
    <w:rsid w:val="0044651C"/>
    <w:rsid w:val="00446545"/>
    <w:rsid w:val="0044684B"/>
    <w:rsid w:val="004468E9"/>
    <w:rsid w:val="004474E5"/>
    <w:rsid w:val="00450542"/>
    <w:rsid w:val="00450C13"/>
    <w:rsid w:val="00450C82"/>
    <w:rsid w:val="00450EA8"/>
    <w:rsid w:val="00451147"/>
    <w:rsid w:val="00451638"/>
    <w:rsid w:val="004519FB"/>
    <w:rsid w:val="00451A10"/>
    <w:rsid w:val="00451D70"/>
    <w:rsid w:val="00452041"/>
    <w:rsid w:val="00452209"/>
    <w:rsid w:val="00452316"/>
    <w:rsid w:val="00453306"/>
    <w:rsid w:val="004537F5"/>
    <w:rsid w:val="00453C0B"/>
    <w:rsid w:val="004542D3"/>
    <w:rsid w:val="004544FD"/>
    <w:rsid w:val="004548D6"/>
    <w:rsid w:val="00454A22"/>
    <w:rsid w:val="00454C71"/>
    <w:rsid w:val="00454D42"/>
    <w:rsid w:val="004557DF"/>
    <w:rsid w:val="004558F4"/>
    <w:rsid w:val="004559B7"/>
    <w:rsid w:val="004559CD"/>
    <w:rsid w:val="00455A6C"/>
    <w:rsid w:val="00455D96"/>
    <w:rsid w:val="00455FC1"/>
    <w:rsid w:val="00456043"/>
    <w:rsid w:val="00456853"/>
    <w:rsid w:val="00456BA3"/>
    <w:rsid w:val="00456C32"/>
    <w:rsid w:val="00456ED2"/>
    <w:rsid w:val="00457188"/>
    <w:rsid w:val="0045766D"/>
    <w:rsid w:val="00457699"/>
    <w:rsid w:val="00457831"/>
    <w:rsid w:val="00457B21"/>
    <w:rsid w:val="0046048B"/>
    <w:rsid w:val="00460556"/>
    <w:rsid w:val="0046084F"/>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AA9"/>
    <w:rsid w:val="00464D57"/>
    <w:rsid w:val="00464FAA"/>
    <w:rsid w:val="00465136"/>
    <w:rsid w:val="004655EF"/>
    <w:rsid w:val="00465F0A"/>
    <w:rsid w:val="00466786"/>
    <w:rsid w:val="00467039"/>
    <w:rsid w:val="00467177"/>
    <w:rsid w:val="00467A8B"/>
    <w:rsid w:val="00467AB5"/>
    <w:rsid w:val="00467AFF"/>
    <w:rsid w:val="00467FBD"/>
    <w:rsid w:val="00470957"/>
    <w:rsid w:val="004709F1"/>
    <w:rsid w:val="00470C44"/>
    <w:rsid w:val="00471055"/>
    <w:rsid w:val="00471825"/>
    <w:rsid w:val="0047196B"/>
    <w:rsid w:val="00471BCF"/>
    <w:rsid w:val="00471F99"/>
    <w:rsid w:val="00472327"/>
    <w:rsid w:val="0047260A"/>
    <w:rsid w:val="00472E74"/>
    <w:rsid w:val="004730D0"/>
    <w:rsid w:val="00473370"/>
    <w:rsid w:val="0047347B"/>
    <w:rsid w:val="0047364D"/>
    <w:rsid w:val="00473891"/>
    <w:rsid w:val="00473A08"/>
    <w:rsid w:val="00473CBF"/>
    <w:rsid w:val="00474694"/>
    <w:rsid w:val="00474979"/>
    <w:rsid w:val="00475023"/>
    <w:rsid w:val="0047546B"/>
    <w:rsid w:val="004760BF"/>
    <w:rsid w:val="0047635A"/>
    <w:rsid w:val="00476871"/>
    <w:rsid w:val="00476F3E"/>
    <w:rsid w:val="004776C5"/>
    <w:rsid w:val="00477F51"/>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41F"/>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A3A"/>
    <w:rsid w:val="00493C92"/>
    <w:rsid w:val="00494025"/>
    <w:rsid w:val="004942BE"/>
    <w:rsid w:val="0049469F"/>
    <w:rsid w:val="00494C2B"/>
    <w:rsid w:val="00494C2F"/>
    <w:rsid w:val="00494E1D"/>
    <w:rsid w:val="00494E3E"/>
    <w:rsid w:val="004950CF"/>
    <w:rsid w:val="004950F6"/>
    <w:rsid w:val="00495841"/>
    <w:rsid w:val="00495932"/>
    <w:rsid w:val="0049596E"/>
    <w:rsid w:val="00495ADE"/>
    <w:rsid w:val="00495C81"/>
    <w:rsid w:val="00495E6E"/>
    <w:rsid w:val="00496626"/>
    <w:rsid w:val="00496B54"/>
    <w:rsid w:val="00496C12"/>
    <w:rsid w:val="00496D1E"/>
    <w:rsid w:val="004975D6"/>
    <w:rsid w:val="004978FF"/>
    <w:rsid w:val="0049795F"/>
    <w:rsid w:val="00497967"/>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5C2"/>
    <w:rsid w:val="004A6999"/>
    <w:rsid w:val="004A6C02"/>
    <w:rsid w:val="004A6F30"/>
    <w:rsid w:val="004A74F2"/>
    <w:rsid w:val="004A76FF"/>
    <w:rsid w:val="004A7785"/>
    <w:rsid w:val="004A792D"/>
    <w:rsid w:val="004A7C9F"/>
    <w:rsid w:val="004B017C"/>
    <w:rsid w:val="004B0294"/>
    <w:rsid w:val="004B03F8"/>
    <w:rsid w:val="004B05ED"/>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58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56D"/>
    <w:rsid w:val="004C386B"/>
    <w:rsid w:val="004C3D75"/>
    <w:rsid w:val="004C3D98"/>
    <w:rsid w:val="004C414A"/>
    <w:rsid w:val="004C41FB"/>
    <w:rsid w:val="004C4247"/>
    <w:rsid w:val="004C4308"/>
    <w:rsid w:val="004C460F"/>
    <w:rsid w:val="004C4D5D"/>
    <w:rsid w:val="004C4FDC"/>
    <w:rsid w:val="004C5287"/>
    <w:rsid w:val="004C56B4"/>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2EA"/>
    <w:rsid w:val="004D0E3F"/>
    <w:rsid w:val="004D1903"/>
    <w:rsid w:val="004D211C"/>
    <w:rsid w:val="004D228D"/>
    <w:rsid w:val="004D23CE"/>
    <w:rsid w:val="004D24DE"/>
    <w:rsid w:val="004D279C"/>
    <w:rsid w:val="004D2883"/>
    <w:rsid w:val="004D2A1E"/>
    <w:rsid w:val="004D2EDA"/>
    <w:rsid w:val="004D30DA"/>
    <w:rsid w:val="004D33F6"/>
    <w:rsid w:val="004D3E8E"/>
    <w:rsid w:val="004D417E"/>
    <w:rsid w:val="004D435A"/>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79F"/>
    <w:rsid w:val="004D7935"/>
    <w:rsid w:val="004D7A19"/>
    <w:rsid w:val="004D7AC5"/>
    <w:rsid w:val="004D7C36"/>
    <w:rsid w:val="004D7EBA"/>
    <w:rsid w:val="004E0150"/>
    <w:rsid w:val="004E0414"/>
    <w:rsid w:val="004E066C"/>
    <w:rsid w:val="004E0888"/>
    <w:rsid w:val="004E0A0A"/>
    <w:rsid w:val="004E195C"/>
    <w:rsid w:val="004E1A3E"/>
    <w:rsid w:val="004E1F82"/>
    <w:rsid w:val="004E215B"/>
    <w:rsid w:val="004E2381"/>
    <w:rsid w:val="004E29B6"/>
    <w:rsid w:val="004E2E84"/>
    <w:rsid w:val="004E30E1"/>
    <w:rsid w:val="004E33DC"/>
    <w:rsid w:val="004E3645"/>
    <w:rsid w:val="004E3874"/>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2BF"/>
    <w:rsid w:val="004F24D1"/>
    <w:rsid w:val="004F2526"/>
    <w:rsid w:val="004F25D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19B9"/>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A33"/>
    <w:rsid w:val="00504B4E"/>
    <w:rsid w:val="00504E35"/>
    <w:rsid w:val="00504F14"/>
    <w:rsid w:val="0050522F"/>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B5A"/>
    <w:rsid w:val="00510E7B"/>
    <w:rsid w:val="00511411"/>
    <w:rsid w:val="0051181D"/>
    <w:rsid w:val="00511B5E"/>
    <w:rsid w:val="00511CEE"/>
    <w:rsid w:val="00511EC1"/>
    <w:rsid w:val="00512685"/>
    <w:rsid w:val="005127F2"/>
    <w:rsid w:val="00512969"/>
    <w:rsid w:val="005134C1"/>
    <w:rsid w:val="005139F5"/>
    <w:rsid w:val="00513BC6"/>
    <w:rsid w:val="00513EC1"/>
    <w:rsid w:val="005141D2"/>
    <w:rsid w:val="00514AA9"/>
    <w:rsid w:val="00514B8A"/>
    <w:rsid w:val="00514C68"/>
    <w:rsid w:val="00514FD7"/>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1F1"/>
    <w:rsid w:val="005237CD"/>
    <w:rsid w:val="00523861"/>
    <w:rsid w:val="0052387E"/>
    <w:rsid w:val="00523E60"/>
    <w:rsid w:val="00523F92"/>
    <w:rsid w:val="005240BC"/>
    <w:rsid w:val="0052485C"/>
    <w:rsid w:val="00524C32"/>
    <w:rsid w:val="00524CC4"/>
    <w:rsid w:val="00524D60"/>
    <w:rsid w:val="00524F06"/>
    <w:rsid w:val="005250D1"/>
    <w:rsid w:val="00525165"/>
    <w:rsid w:val="005253B3"/>
    <w:rsid w:val="00525FC2"/>
    <w:rsid w:val="00526634"/>
    <w:rsid w:val="00526768"/>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12D"/>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BAA"/>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CFF"/>
    <w:rsid w:val="00552D9F"/>
    <w:rsid w:val="00552E7E"/>
    <w:rsid w:val="005533FB"/>
    <w:rsid w:val="00553A29"/>
    <w:rsid w:val="00553D48"/>
    <w:rsid w:val="005541B3"/>
    <w:rsid w:val="0055426A"/>
    <w:rsid w:val="0055427B"/>
    <w:rsid w:val="00554298"/>
    <w:rsid w:val="0055465D"/>
    <w:rsid w:val="00554761"/>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B05"/>
    <w:rsid w:val="00562C59"/>
    <w:rsid w:val="00562DB0"/>
    <w:rsid w:val="005632F7"/>
    <w:rsid w:val="005633F7"/>
    <w:rsid w:val="00563630"/>
    <w:rsid w:val="0056396B"/>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A57"/>
    <w:rsid w:val="00567E29"/>
    <w:rsid w:val="0057102E"/>
    <w:rsid w:val="00571261"/>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A79"/>
    <w:rsid w:val="00573DA3"/>
    <w:rsid w:val="00574087"/>
    <w:rsid w:val="00574306"/>
    <w:rsid w:val="00574679"/>
    <w:rsid w:val="005748B1"/>
    <w:rsid w:val="005748C5"/>
    <w:rsid w:val="00574A29"/>
    <w:rsid w:val="00574B0F"/>
    <w:rsid w:val="00574E95"/>
    <w:rsid w:val="005755D5"/>
    <w:rsid w:val="0057565D"/>
    <w:rsid w:val="00575EB2"/>
    <w:rsid w:val="00575F40"/>
    <w:rsid w:val="00576015"/>
    <w:rsid w:val="00576258"/>
    <w:rsid w:val="00576278"/>
    <w:rsid w:val="005764F3"/>
    <w:rsid w:val="0057651B"/>
    <w:rsid w:val="00576A3C"/>
    <w:rsid w:val="00576AB1"/>
    <w:rsid w:val="00576B84"/>
    <w:rsid w:val="00576C0F"/>
    <w:rsid w:val="00576DCE"/>
    <w:rsid w:val="00576E4B"/>
    <w:rsid w:val="00577381"/>
    <w:rsid w:val="0057761D"/>
    <w:rsid w:val="005779C0"/>
    <w:rsid w:val="00577F17"/>
    <w:rsid w:val="00580674"/>
    <w:rsid w:val="00580B9C"/>
    <w:rsid w:val="00581440"/>
    <w:rsid w:val="005816EB"/>
    <w:rsid w:val="005819D6"/>
    <w:rsid w:val="005819EF"/>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F5"/>
    <w:rsid w:val="0059395F"/>
    <w:rsid w:val="00593A64"/>
    <w:rsid w:val="00593D5F"/>
    <w:rsid w:val="00593E6C"/>
    <w:rsid w:val="00593EC4"/>
    <w:rsid w:val="00594A8C"/>
    <w:rsid w:val="00594E86"/>
    <w:rsid w:val="00594F8B"/>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9D"/>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50"/>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729"/>
    <w:rsid w:val="005B6953"/>
    <w:rsid w:val="005B695E"/>
    <w:rsid w:val="005B69BE"/>
    <w:rsid w:val="005B6BFF"/>
    <w:rsid w:val="005B6CB2"/>
    <w:rsid w:val="005B6CF7"/>
    <w:rsid w:val="005B7586"/>
    <w:rsid w:val="005B7955"/>
    <w:rsid w:val="005B7BAA"/>
    <w:rsid w:val="005B7BEA"/>
    <w:rsid w:val="005B7E30"/>
    <w:rsid w:val="005C042F"/>
    <w:rsid w:val="005C08C6"/>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09"/>
    <w:rsid w:val="005D5FF5"/>
    <w:rsid w:val="005D65FF"/>
    <w:rsid w:val="005D6887"/>
    <w:rsid w:val="005D6A0A"/>
    <w:rsid w:val="005D6A37"/>
    <w:rsid w:val="005D6B61"/>
    <w:rsid w:val="005D79AA"/>
    <w:rsid w:val="005D7BC6"/>
    <w:rsid w:val="005E09B0"/>
    <w:rsid w:val="005E0B50"/>
    <w:rsid w:val="005E0CB1"/>
    <w:rsid w:val="005E0F80"/>
    <w:rsid w:val="005E111A"/>
    <w:rsid w:val="005E16FF"/>
    <w:rsid w:val="005E17A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89"/>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949"/>
    <w:rsid w:val="005F4C39"/>
    <w:rsid w:val="005F4D25"/>
    <w:rsid w:val="005F4F35"/>
    <w:rsid w:val="005F5032"/>
    <w:rsid w:val="005F50F6"/>
    <w:rsid w:val="005F5A9C"/>
    <w:rsid w:val="005F5D86"/>
    <w:rsid w:val="005F61D8"/>
    <w:rsid w:val="005F63CE"/>
    <w:rsid w:val="005F64A2"/>
    <w:rsid w:val="005F6624"/>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3D3"/>
    <w:rsid w:val="00606635"/>
    <w:rsid w:val="006067CF"/>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67F"/>
    <w:rsid w:val="00612B58"/>
    <w:rsid w:val="00612D40"/>
    <w:rsid w:val="0061359A"/>
    <w:rsid w:val="006135BF"/>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79"/>
    <w:rsid w:val="006172F0"/>
    <w:rsid w:val="0061763E"/>
    <w:rsid w:val="00617961"/>
    <w:rsid w:val="00620103"/>
    <w:rsid w:val="006201AF"/>
    <w:rsid w:val="0062055B"/>
    <w:rsid w:val="0062071D"/>
    <w:rsid w:val="00620CB5"/>
    <w:rsid w:val="00620FAC"/>
    <w:rsid w:val="006214C6"/>
    <w:rsid w:val="006214F3"/>
    <w:rsid w:val="0062189F"/>
    <w:rsid w:val="00621B6F"/>
    <w:rsid w:val="00621C6F"/>
    <w:rsid w:val="00622244"/>
    <w:rsid w:val="006223A5"/>
    <w:rsid w:val="006223A6"/>
    <w:rsid w:val="00622823"/>
    <w:rsid w:val="00622DB5"/>
    <w:rsid w:val="0062302D"/>
    <w:rsid w:val="006230FA"/>
    <w:rsid w:val="0062332C"/>
    <w:rsid w:val="00623BA4"/>
    <w:rsid w:val="00623E8F"/>
    <w:rsid w:val="00624129"/>
    <w:rsid w:val="0062432F"/>
    <w:rsid w:val="006243F5"/>
    <w:rsid w:val="006244B8"/>
    <w:rsid w:val="00624524"/>
    <w:rsid w:val="00624786"/>
    <w:rsid w:val="00624CF5"/>
    <w:rsid w:val="00624E85"/>
    <w:rsid w:val="00624E99"/>
    <w:rsid w:val="00624F62"/>
    <w:rsid w:val="00624FEC"/>
    <w:rsid w:val="006251ED"/>
    <w:rsid w:val="006253C7"/>
    <w:rsid w:val="00625434"/>
    <w:rsid w:val="00625543"/>
    <w:rsid w:val="006256BD"/>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47"/>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71E"/>
    <w:rsid w:val="00636464"/>
    <w:rsid w:val="006364C7"/>
    <w:rsid w:val="00636A27"/>
    <w:rsid w:val="006372B6"/>
    <w:rsid w:val="006374A1"/>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290"/>
    <w:rsid w:val="00644602"/>
    <w:rsid w:val="006446FC"/>
    <w:rsid w:val="00644FFB"/>
    <w:rsid w:val="00645305"/>
    <w:rsid w:val="00645609"/>
    <w:rsid w:val="00645E72"/>
    <w:rsid w:val="0064662C"/>
    <w:rsid w:val="00646647"/>
    <w:rsid w:val="00646AC7"/>
    <w:rsid w:val="00646F0A"/>
    <w:rsid w:val="0064717A"/>
    <w:rsid w:val="00647B56"/>
    <w:rsid w:val="00647B80"/>
    <w:rsid w:val="00647CDD"/>
    <w:rsid w:val="00647D2F"/>
    <w:rsid w:val="00647D5E"/>
    <w:rsid w:val="00647F84"/>
    <w:rsid w:val="00650221"/>
    <w:rsid w:val="006502F0"/>
    <w:rsid w:val="00650B3A"/>
    <w:rsid w:val="00650BCC"/>
    <w:rsid w:val="00650D5C"/>
    <w:rsid w:val="00650F05"/>
    <w:rsid w:val="00651377"/>
    <w:rsid w:val="006516D9"/>
    <w:rsid w:val="00651827"/>
    <w:rsid w:val="0065190D"/>
    <w:rsid w:val="0065191D"/>
    <w:rsid w:val="00651C3B"/>
    <w:rsid w:val="00651DD2"/>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2E"/>
    <w:rsid w:val="00654E59"/>
    <w:rsid w:val="006551BD"/>
    <w:rsid w:val="00655621"/>
    <w:rsid w:val="00655645"/>
    <w:rsid w:val="00655A53"/>
    <w:rsid w:val="00656031"/>
    <w:rsid w:val="006560AB"/>
    <w:rsid w:val="006562A8"/>
    <w:rsid w:val="006562CB"/>
    <w:rsid w:val="00656C97"/>
    <w:rsid w:val="00657591"/>
    <w:rsid w:val="0065769A"/>
    <w:rsid w:val="00657E49"/>
    <w:rsid w:val="0066020C"/>
    <w:rsid w:val="006604B9"/>
    <w:rsid w:val="00660CC6"/>
    <w:rsid w:val="00661925"/>
    <w:rsid w:val="00661C17"/>
    <w:rsid w:val="00661E6D"/>
    <w:rsid w:val="00661E8E"/>
    <w:rsid w:val="00661E9E"/>
    <w:rsid w:val="006622C1"/>
    <w:rsid w:val="00662323"/>
    <w:rsid w:val="006625FA"/>
    <w:rsid w:val="0066289E"/>
    <w:rsid w:val="00662C18"/>
    <w:rsid w:val="00663044"/>
    <w:rsid w:val="006636B3"/>
    <w:rsid w:val="00663A44"/>
    <w:rsid w:val="00663C0F"/>
    <w:rsid w:val="006640D6"/>
    <w:rsid w:val="006645DA"/>
    <w:rsid w:val="00664922"/>
    <w:rsid w:val="00664D51"/>
    <w:rsid w:val="00665ABF"/>
    <w:rsid w:val="00665B5B"/>
    <w:rsid w:val="00666CBC"/>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CA0"/>
    <w:rsid w:val="00670F82"/>
    <w:rsid w:val="00671105"/>
    <w:rsid w:val="00671168"/>
    <w:rsid w:val="006711CB"/>
    <w:rsid w:val="006719D5"/>
    <w:rsid w:val="00671F10"/>
    <w:rsid w:val="00671F24"/>
    <w:rsid w:val="006720A0"/>
    <w:rsid w:val="00672292"/>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0E5"/>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88C"/>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30"/>
    <w:rsid w:val="00687A85"/>
    <w:rsid w:val="00687CBC"/>
    <w:rsid w:val="00687FD6"/>
    <w:rsid w:val="00690180"/>
    <w:rsid w:val="00690577"/>
    <w:rsid w:val="00690E27"/>
    <w:rsid w:val="00690F58"/>
    <w:rsid w:val="00691235"/>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979C6"/>
    <w:rsid w:val="006A0015"/>
    <w:rsid w:val="006A067A"/>
    <w:rsid w:val="006A0723"/>
    <w:rsid w:val="006A0740"/>
    <w:rsid w:val="006A0A52"/>
    <w:rsid w:val="006A0B25"/>
    <w:rsid w:val="006A0BD5"/>
    <w:rsid w:val="006A0E4F"/>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3A6B"/>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CCB"/>
    <w:rsid w:val="006B2E48"/>
    <w:rsid w:val="006B31A8"/>
    <w:rsid w:val="006B3318"/>
    <w:rsid w:val="006B3460"/>
    <w:rsid w:val="006B3683"/>
    <w:rsid w:val="006B3F31"/>
    <w:rsid w:val="006B4128"/>
    <w:rsid w:val="006B414A"/>
    <w:rsid w:val="006B4B28"/>
    <w:rsid w:val="006B4D42"/>
    <w:rsid w:val="006B555E"/>
    <w:rsid w:val="006B5AAD"/>
    <w:rsid w:val="006B5B12"/>
    <w:rsid w:val="006B5FCF"/>
    <w:rsid w:val="006B6438"/>
    <w:rsid w:val="006B6634"/>
    <w:rsid w:val="006B6911"/>
    <w:rsid w:val="006B6AF2"/>
    <w:rsid w:val="006B6CFE"/>
    <w:rsid w:val="006B6D45"/>
    <w:rsid w:val="006B7498"/>
    <w:rsid w:val="006B75A9"/>
    <w:rsid w:val="006B7AAD"/>
    <w:rsid w:val="006B7B19"/>
    <w:rsid w:val="006B7B9A"/>
    <w:rsid w:val="006C02A7"/>
    <w:rsid w:val="006C062F"/>
    <w:rsid w:val="006C063F"/>
    <w:rsid w:val="006C064B"/>
    <w:rsid w:val="006C074D"/>
    <w:rsid w:val="006C0A14"/>
    <w:rsid w:val="006C15B5"/>
    <w:rsid w:val="006C1A33"/>
    <w:rsid w:val="006C215D"/>
    <w:rsid w:val="006C227D"/>
    <w:rsid w:val="006C2420"/>
    <w:rsid w:val="006C26C0"/>
    <w:rsid w:val="006C26D8"/>
    <w:rsid w:val="006C2D70"/>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5E4"/>
    <w:rsid w:val="006D461B"/>
    <w:rsid w:val="006D469B"/>
    <w:rsid w:val="006D4CA5"/>
    <w:rsid w:val="006D4ED6"/>
    <w:rsid w:val="006D50EC"/>
    <w:rsid w:val="006D5547"/>
    <w:rsid w:val="006D5809"/>
    <w:rsid w:val="006D5D32"/>
    <w:rsid w:val="006D605B"/>
    <w:rsid w:val="006D61C5"/>
    <w:rsid w:val="006D62C5"/>
    <w:rsid w:val="006D6625"/>
    <w:rsid w:val="006D6863"/>
    <w:rsid w:val="006D70A5"/>
    <w:rsid w:val="006D73FC"/>
    <w:rsid w:val="006D7655"/>
    <w:rsid w:val="006D7969"/>
    <w:rsid w:val="006D7C0B"/>
    <w:rsid w:val="006E023F"/>
    <w:rsid w:val="006E07EF"/>
    <w:rsid w:val="006E0861"/>
    <w:rsid w:val="006E1226"/>
    <w:rsid w:val="006E1261"/>
    <w:rsid w:val="006E1450"/>
    <w:rsid w:val="006E1683"/>
    <w:rsid w:val="006E1C24"/>
    <w:rsid w:val="006E1E7D"/>
    <w:rsid w:val="006E1EE8"/>
    <w:rsid w:val="006E20C1"/>
    <w:rsid w:val="006E22B4"/>
    <w:rsid w:val="006E22C7"/>
    <w:rsid w:val="006E275A"/>
    <w:rsid w:val="006E2A37"/>
    <w:rsid w:val="006E2BCA"/>
    <w:rsid w:val="006E2C0E"/>
    <w:rsid w:val="006E2EEC"/>
    <w:rsid w:val="006E2FC3"/>
    <w:rsid w:val="006E3020"/>
    <w:rsid w:val="006E3655"/>
    <w:rsid w:val="006E39AE"/>
    <w:rsid w:val="006E3AC8"/>
    <w:rsid w:val="006E3AE9"/>
    <w:rsid w:val="006E3CD5"/>
    <w:rsid w:val="006E3D07"/>
    <w:rsid w:val="006E3EF7"/>
    <w:rsid w:val="006E3FFB"/>
    <w:rsid w:val="006E422A"/>
    <w:rsid w:val="006E458C"/>
    <w:rsid w:val="006E466F"/>
    <w:rsid w:val="006E489E"/>
    <w:rsid w:val="006E4CC3"/>
    <w:rsid w:val="006E4DEE"/>
    <w:rsid w:val="006E4F12"/>
    <w:rsid w:val="006E551F"/>
    <w:rsid w:val="006E562A"/>
    <w:rsid w:val="006E5F7E"/>
    <w:rsid w:val="006E6188"/>
    <w:rsid w:val="006E6BA5"/>
    <w:rsid w:val="006E704E"/>
    <w:rsid w:val="006E7050"/>
    <w:rsid w:val="006E7514"/>
    <w:rsid w:val="006E75B7"/>
    <w:rsid w:val="006E7FCC"/>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346"/>
    <w:rsid w:val="006F4519"/>
    <w:rsid w:val="006F465B"/>
    <w:rsid w:val="006F4803"/>
    <w:rsid w:val="006F4B24"/>
    <w:rsid w:val="006F4B31"/>
    <w:rsid w:val="006F4DD6"/>
    <w:rsid w:val="006F5367"/>
    <w:rsid w:val="006F57B4"/>
    <w:rsid w:val="006F594F"/>
    <w:rsid w:val="006F5963"/>
    <w:rsid w:val="006F5A2E"/>
    <w:rsid w:val="006F623A"/>
    <w:rsid w:val="006F66AF"/>
    <w:rsid w:val="006F6B00"/>
    <w:rsid w:val="006F6CF3"/>
    <w:rsid w:val="006F700A"/>
    <w:rsid w:val="006F70D3"/>
    <w:rsid w:val="006F71FF"/>
    <w:rsid w:val="006F7ABE"/>
    <w:rsid w:val="006F7D1F"/>
    <w:rsid w:val="007002FD"/>
    <w:rsid w:val="007003EA"/>
    <w:rsid w:val="00700404"/>
    <w:rsid w:val="00700B12"/>
    <w:rsid w:val="00700CBF"/>
    <w:rsid w:val="007010E8"/>
    <w:rsid w:val="0070115C"/>
    <w:rsid w:val="00701877"/>
    <w:rsid w:val="00701BA9"/>
    <w:rsid w:val="00701EB6"/>
    <w:rsid w:val="00701EBC"/>
    <w:rsid w:val="00702877"/>
    <w:rsid w:val="00703368"/>
    <w:rsid w:val="00703932"/>
    <w:rsid w:val="00703CD8"/>
    <w:rsid w:val="007042E6"/>
    <w:rsid w:val="00704A70"/>
    <w:rsid w:val="00704D4A"/>
    <w:rsid w:val="007051A2"/>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74C"/>
    <w:rsid w:val="00710A7E"/>
    <w:rsid w:val="00710F4B"/>
    <w:rsid w:val="007111B8"/>
    <w:rsid w:val="007114EB"/>
    <w:rsid w:val="0071154A"/>
    <w:rsid w:val="00711859"/>
    <w:rsid w:val="00711D96"/>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70A"/>
    <w:rsid w:val="0071581D"/>
    <w:rsid w:val="0071583F"/>
    <w:rsid w:val="00715AC1"/>
    <w:rsid w:val="0071662F"/>
    <w:rsid w:val="0071672E"/>
    <w:rsid w:val="007168F2"/>
    <w:rsid w:val="00716E35"/>
    <w:rsid w:val="007170A9"/>
    <w:rsid w:val="007172A3"/>
    <w:rsid w:val="007173BF"/>
    <w:rsid w:val="0071775A"/>
    <w:rsid w:val="00717E58"/>
    <w:rsid w:val="00717E63"/>
    <w:rsid w:val="00720369"/>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7E2"/>
    <w:rsid w:val="00727A29"/>
    <w:rsid w:val="00727B67"/>
    <w:rsid w:val="0073013F"/>
    <w:rsid w:val="007305B3"/>
    <w:rsid w:val="007307E6"/>
    <w:rsid w:val="0073083B"/>
    <w:rsid w:val="00730892"/>
    <w:rsid w:val="00730AC0"/>
    <w:rsid w:val="0073110E"/>
    <w:rsid w:val="0073114D"/>
    <w:rsid w:val="007316EB"/>
    <w:rsid w:val="00731B34"/>
    <w:rsid w:val="00731D5B"/>
    <w:rsid w:val="00731E7C"/>
    <w:rsid w:val="0073209D"/>
    <w:rsid w:val="00732545"/>
    <w:rsid w:val="00732A47"/>
    <w:rsid w:val="00732CD6"/>
    <w:rsid w:val="00733219"/>
    <w:rsid w:val="007334A3"/>
    <w:rsid w:val="007334C5"/>
    <w:rsid w:val="00734097"/>
    <w:rsid w:val="00734A5A"/>
    <w:rsid w:val="00734B26"/>
    <w:rsid w:val="00734D12"/>
    <w:rsid w:val="007352C7"/>
    <w:rsid w:val="007353C9"/>
    <w:rsid w:val="007355B4"/>
    <w:rsid w:val="00735E69"/>
    <w:rsid w:val="007360EA"/>
    <w:rsid w:val="007362F6"/>
    <w:rsid w:val="007366A8"/>
    <w:rsid w:val="00736782"/>
    <w:rsid w:val="00736871"/>
    <w:rsid w:val="00736B55"/>
    <w:rsid w:val="00736DA8"/>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98"/>
    <w:rsid w:val="007455DC"/>
    <w:rsid w:val="007457A4"/>
    <w:rsid w:val="0074590F"/>
    <w:rsid w:val="00745EFF"/>
    <w:rsid w:val="007466F1"/>
    <w:rsid w:val="007469C7"/>
    <w:rsid w:val="00746A93"/>
    <w:rsid w:val="00746A9C"/>
    <w:rsid w:val="00746EE5"/>
    <w:rsid w:val="007473CF"/>
    <w:rsid w:val="00747513"/>
    <w:rsid w:val="007506DB"/>
    <w:rsid w:val="00750AC5"/>
    <w:rsid w:val="00750E7B"/>
    <w:rsid w:val="00750FB3"/>
    <w:rsid w:val="007513F2"/>
    <w:rsid w:val="0075140C"/>
    <w:rsid w:val="00751A22"/>
    <w:rsid w:val="00751ACF"/>
    <w:rsid w:val="00752044"/>
    <w:rsid w:val="0075239A"/>
    <w:rsid w:val="007529C9"/>
    <w:rsid w:val="00752C34"/>
    <w:rsid w:val="00753312"/>
    <w:rsid w:val="00753562"/>
    <w:rsid w:val="00754657"/>
    <w:rsid w:val="00754AA2"/>
    <w:rsid w:val="00754C3B"/>
    <w:rsid w:val="00754C9E"/>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6C1"/>
    <w:rsid w:val="00762B25"/>
    <w:rsid w:val="00762B3E"/>
    <w:rsid w:val="00762B8D"/>
    <w:rsid w:val="007636AE"/>
    <w:rsid w:val="0076385A"/>
    <w:rsid w:val="00763F46"/>
    <w:rsid w:val="00763FE2"/>
    <w:rsid w:val="007640F4"/>
    <w:rsid w:val="0076415A"/>
    <w:rsid w:val="00764267"/>
    <w:rsid w:val="00764288"/>
    <w:rsid w:val="007642E8"/>
    <w:rsid w:val="007646B3"/>
    <w:rsid w:val="00764845"/>
    <w:rsid w:val="0076486C"/>
    <w:rsid w:val="00764C85"/>
    <w:rsid w:val="00764CFD"/>
    <w:rsid w:val="00765098"/>
    <w:rsid w:val="00765637"/>
    <w:rsid w:val="00765768"/>
    <w:rsid w:val="00765A76"/>
    <w:rsid w:val="00765BF8"/>
    <w:rsid w:val="00765CFA"/>
    <w:rsid w:val="007665D3"/>
    <w:rsid w:val="00766662"/>
    <w:rsid w:val="0076698B"/>
    <w:rsid w:val="0076699B"/>
    <w:rsid w:val="0076703B"/>
    <w:rsid w:val="007672A2"/>
    <w:rsid w:val="00767488"/>
    <w:rsid w:val="007679E9"/>
    <w:rsid w:val="00767A23"/>
    <w:rsid w:val="00767ABA"/>
    <w:rsid w:val="00767C59"/>
    <w:rsid w:val="00767D13"/>
    <w:rsid w:val="0077007E"/>
    <w:rsid w:val="00770125"/>
    <w:rsid w:val="0077071D"/>
    <w:rsid w:val="00770A54"/>
    <w:rsid w:val="00770B4F"/>
    <w:rsid w:val="00770FD4"/>
    <w:rsid w:val="00771003"/>
    <w:rsid w:val="007712E7"/>
    <w:rsid w:val="00771861"/>
    <w:rsid w:val="00771B21"/>
    <w:rsid w:val="00771CBB"/>
    <w:rsid w:val="00771FEB"/>
    <w:rsid w:val="00772247"/>
    <w:rsid w:val="00772322"/>
    <w:rsid w:val="0077278F"/>
    <w:rsid w:val="0077298C"/>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3FA"/>
    <w:rsid w:val="007774CF"/>
    <w:rsid w:val="007776B9"/>
    <w:rsid w:val="00777A0F"/>
    <w:rsid w:val="007802BC"/>
    <w:rsid w:val="00780445"/>
    <w:rsid w:val="007804E7"/>
    <w:rsid w:val="007804F3"/>
    <w:rsid w:val="00780671"/>
    <w:rsid w:val="00780B79"/>
    <w:rsid w:val="00780B95"/>
    <w:rsid w:val="00781049"/>
    <w:rsid w:val="00781116"/>
    <w:rsid w:val="00781631"/>
    <w:rsid w:val="007816E7"/>
    <w:rsid w:val="00781988"/>
    <w:rsid w:val="00781ADE"/>
    <w:rsid w:val="0078200F"/>
    <w:rsid w:val="0078225A"/>
    <w:rsid w:val="0078255E"/>
    <w:rsid w:val="00782D8D"/>
    <w:rsid w:val="00783631"/>
    <w:rsid w:val="007838EB"/>
    <w:rsid w:val="00784276"/>
    <w:rsid w:val="00784318"/>
    <w:rsid w:val="0078448F"/>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AAF"/>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27D"/>
    <w:rsid w:val="007A0661"/>
    <w:rsid w:val="007A0903"/>
    <w:rsid w:val="007A0AA3"/>
    <w:rsid w:val="007A11E8"/>
    <w:rsid w:val="007A1610"/>
    <w:rsid w:val="007A1E35"/>
    <w:rsid w:val="007A29D2"/>
    <w:rsid w:val="007A2A53"/>
    <w:rsid w:val="007A2CAB"/>
    <w:rsid w:val="007A3259"/>
    <w:rsid w:val="007A32FF"/>
    <w:rsid w:val="007A337D"/>
    <w:rsid w:val="007A33BE"/>
    <w:rsid w:val="007A3CDD"/>
    <w:rsid w:val="007A411E"/>
    <w:rsid w:val="007A448E"/>
    <w:rsid w:val="007A49EC"/>
    <w:rsid w:val="007A4D69"/>
    <w:rsid w:val="007A51B4"/>
    <w:rsid w:val="007A51DF"/>
    <w:rsid w:val="007A5363"/>
    <w:rsid w:val="007A55CA"/>
    <w:rsid w:val="007A5814"/>
    <w:rsid w:val="007A5B97"/>
    <w:rsid w:val="007A5B9C"/>
    <w:rsid w:val="007A5BD1"/>
    <w:rsid w:val="007A5CD6"/>
    <w:rsid w:val="007A5FDE"/>
    <w:rsid w:val="007A6177"/>
    <w:rsid w:val="007A6AE8"/>
    <w:rsid w:val="007A6E59"/>
    <w:rsid w:val="007A725C"/>
    <w:rsid w:val="007A7607"/>
    <w:rsid w:val="007A7CFD"/>
    <w:rsid w:val="007A7D2D"/>
    <w:rsid w:val="007A7E09"/>
    <w:rsid w:val="007A7E61"/>
    <w:rsid w:val="007A7E75"/>
    <w:rsid w:val="007A7F3D"/>
    <w:rsid w:val="007B026D"/>
    <w:rsid w:val="007B03BC"/>
    <w:rsid w:val="007B046B"/>
    <w:rsid w:val="007B04ED"/>
    <w:rsid w:val="007B094D"/>
    <w:rsid w:val="007B0A63"/>
    <w:rsid w:val="007B16BD"/>
    <w:rsid w:val="007B1865"/>
    <w:rsid w:val="007B1996"/>
    <w:rsid w:val="007B1A9A"/>
    <w:rsid w:val="007B211F"/>
    <w:rsid w:val="007B234D"/>
    <w:rsid w:val="007B266A"/>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1"/>
    <w:rsid w:val="007B5E4C"/>
    <w:rsid w:val="007B6077"/>
    <w:rsid w:val="007B6B9A"/>
    <w:rsid w:val="007B6C2E"/>
    <w:rsid w:val="007B7102"/>
    <w:rsid w:val="007B7225"/>
    <w:rsid w:val="007B7CA9"/>
    <w:rsid w:val="007B7EA7"/>
    <w:rsid w:val="007C019D"/>
    <w:rsid w:val="007C045C"/>
    <w:rsid w:val="007C0619"/>
    <w:rsid w:val="007C086D"/>
    <w:rsid w:val="007C0976"/>
    <w:rsid w:val="007C0AB8"/>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E56"/>
    <w:rsid w:val="007C3F4C"/>
    <w:rsid w:val="007C4053"/>
    <w:rsid w:val="007C4449"/>
    <w:rsid w:val="007C457C"/>
    <w:rsid w:val="007C4DDB"/>
    <w:rsid w:val="007C4F4D"/>
    <w:rsid w:val="007C51EF"/>
    <w:rsid w:val="007C532C"/>
    <w:rsid w:val="007C53D6"/>
    <w:rsid w:val="007C5419"/>
    <w:rsid w:val="007C57C7"/>
    <w:rsid w:val="007C5B79"/>
    <w:rsid w:val="007C5EB6"/>
    <w:rsid w:val="007C5FAF"/>
    <w:rsid w:val="007C61A8"/>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5B6"/>
    <w:rsid w:val="007D6609"/>
    <w:rsid w:val="007D667A"/>
    <w:rsid w:val="007D6692"/>
    <w:rsid w:val="007D6B83"/>
    <w:rsid w:val="007D6D51"/>
    <w:rsid w:val="007D7200"/>
    <w:rsid w:val="007D7373"/>
    <w:rsid w:val="007D73A7"/>
    <w:rsid w:val="007D74A9"/>
    <w:rsid w:val="007D74D6"/>
    <w:rsid w:val="007D7689"/>
    <w:rsid w:val="007D77FD"/>
    <w:rsid w:val="007D7AF1"/>
    <w:rsid w:val="007D7DB9"/>
    <w:rsid w:val="007D7E03"/>
    <w:rsid w:val="007E0189"/>
    <w:rsid w:val="007E04DD"/>
    <w:rsid w:val="007E0ED4"/>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5FA"/>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810"/>
    <w:rsid w:val="007F2A38"/>
    <w:rsid w:val="007F2BA2"/>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B11"/>
    <w:rsid w:val="00800B86"/>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3D2"/>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A73"/>
    <w:rsid w:val="00813C53"/>
    <w:rsid w:val="00813E0F"/>
    <w:rsid w:val="00814341"/>
    <w:rsid w:val="0081472C"/>
    <w:rsid w:val="0081487E"/>
    <w:rsid w:val="00814C70"/>
    <w:rsid w:val="00814FA2"/>
    <w:rsid w:val="0081522D"/>
    <w:rsid w:val="008152DB"/>
    <w:rsid w:val="008152F4"/>
    <w:rsid w:val="00815584"/>
    <w:rsid w:val="00815965"/>
    <w:rsid w:val="00816082"/>
    <w:rsid w:val="0081618D"/>
    <w:rsid w:val="00816310"/>
    <w:rsid w:val="008163F4"/>
    <w:rsid w:val="0081657B"/>
    <w:rsid w:val="008165ED"/>
    <w:rsid w:val="00816848"/>
    <w:rsid w:val="008168B3"/>
    <w:rsid w:val="00816BCA"/>
    <w:rsid w:val="00816BF2"/>
    <w:rsid w:val="00816D7A"/>
    <w:rsid w:val="00816FB5"/>
    <w:rsid w:val="0081704B"/>
    <w:rsid w:val="0081716F"/>
    <w:rsid w:val="00817910"/>
    <w:rsid w:val="008179B6"/>
    <w:rsid w:val="00817EB9"/>
    <w:rsid w:val="00817FCE"/>
    <w:rsid w:val="00820315"/>
    <w:rsid w:val="00820B6D"/>
    <w:rsid w:val="00820BF9"/>
    <w:rsid w:val="00820D12"/>
    <w:rsid w:val="00820F0C"/>
    <w:rsid w:val="00820FD7"/>
    <w:rsid w:val="0082100A"/>
    <w:rsid w:val="008212E4"/>
    <w:rsid w:val="0082225B"/>
    <w:rsid w:val="008227E2"/>
    <w:rsid w:val="00822EE9"/>
    <w:rsid w:val="0082303F"/>
    <w:rsid w:val="00823486"/>
    <w:rsid w:val="008235AD"/>
    <w:rsid w:val="00823965"/>
    <w:rsid w:val="00823FBC"/>
    <w:rsid w:val="008242EF"/>
    <w:rsid w:val="00824306"/>
    <w:rsid w:val="008243CE"/>
    <w:rsid w:val="00824547"/>
    <w:rsid w:val="00824DAB"/>
    <w:rsid w:val="00824DB1"/>
    <w:rsid w:val="00824EB2"/>
    <w:rsid w:val="00824F86"/>
    <w:rsid w:val="0082548D"/>
    <w:rsid w:val="00825F12"/>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ADC"/>
    <w:rsid w:val="00832197"/>
    <w:rsid w:val="008322AA"/>
    <w:rsid w:val="00832494"/>
    <w:rsid w:val="008326D8"/>
    <w:rsid w:val="00832803"/>
    <w:rsid w:val="0083317C"/>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61A"/>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0C4B"/>
    <w:rsid w:val="008512EC"/>
    <w:rsid w:val="00851413"/>
    <w:rsid w:val="0085145F"/>
    <w:rsid w:val="008519F1"/>
    <w:rsid w:val="00851A1A"/>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5E3"/>
    <w:rsid w:val="00860A65"/>
    <w:rsid w:val="00860A68"/>
    <w:rsid w:val="00860B0F"/>
    <w:rsid w:val="00860C24"/>
    <w:rsid w:val="00860ED6"/>
    <w:rsid w:val="00861050"/>
    <w:rsid w:val="00861273"/>
    <w:rsid w:val="0086157F"/>
    <w:rsid w:val="00861799"/>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1D0"/>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1ED"/>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684"/>
    <w:rsid w:val="00884740"/>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5FB"/>
    <w:rsid w:val="00891908"/>
    <w:rsid w:val="00891B2F"/>
    <w:rsid w:val="008920D7"/>
    <w:rsid w:val="00892539"/>
    <w:rsid w:val="0089273A"/>
    <w:rsid w:val="0089293C"/>
    <w:rsid w:val="00893007"/>
    <w:rsid w:val="00893658"/>
    <w:rsid w:val="0089464B"/>
    <w:rsid w:val="00894B2F"/>
    <w:rsid w:val="00894DD8"/>
    <w:rsid w:val="008955E3"/>
    <w:rsid w:val="00895757"/>
    <w:rsid w:val="008958CB"/>
    <w:rsid w:val="008959B4"/>
    <w:rsid w:val="00895BF0"/>
    <w:rsid w:val="008962DC"/>
    <w:rsid w:val="00896452"/>
    <w:rsid w:val="0089663F"/>
    <w:rsid w:val="00896A21"/>
    <w:rsid w:val="00896F59"/>
    <w:rsid w:val="00896F72"/>
    <w:rsid w:val="00897024"/>
    <w:rsid w:val="008970B8"/>
    <w:rsid w:val="00897505"/>
    <w:rsid w:val="00897D88"/>
    <w:rsid w:val="008A046C"/>
    <w:rsid w:val="008A05B6"/>
    <w:rsid w:val="008A06A7"/>
    <w:rsid w:val="008A1431"/>
    <w:rsid w:val="008A1692"/>
    <w:rsid w:val="008A1C4F"/>
    <w:rsid w:val="008A1D54"/>
    <w:rsid w:val="008A1E99"/>
    <w:rsid w:val="008A20C2"/>
    <w:rsid w:val="008A2490"/>
    <w:rsid w:val="008A24AA"/>
    <w:rsid w:val="008A26EA"/>
    <w:rsid w:val="008A2910"/>
    <w:rsid w:val="008A3125"/>
    <w:rsid w:val="008A31D2"/>
    <w:rsid w:val="008A334A"/>
    <w:rsid w:val="008A373B"/>
    <w:rsid w:val="008A3A03"/>
    <w:rsid w:val="008A3B91"/>
    <w:rsid w:val="008A42AA"/>
    <w:rsid w:val="008A477C"/>
    <w:rsid w:val="008A4B78"/>
    <w:rsid w:val="008A4E03"/>
    <w:rsid w:val="008A562C"/>
    <w:rsid w:val="008A571C"/>
    <w:rsid w:val="008A5AC4"/>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678"/>
    <w:rsid w:val="008B3765"/>
    <w:rsid w:val="008B3C1C"/>
    <w:rsid w:val="008B4227"/>
    <w:rsid w:val="008B4C55"/>
    <w:rsid w:val="008B4D3E"/>
    <w:rsid w:val="008B4D69"/>
    <w:rsid w:val="008B4D9D"/>
    <w:rsid w:val="008B5407"/>
    <w:rsid w:val="008B56D4"/>
    <w:rsid w:val="008B5701"/>
    <w:rsid w:val="008B6087"/>
    <w:rsid w:val="008B6228"/>
    <w:rsid w:val="008B62BE"/>
    <w:rsid w:val="008B63FE"/>
    <w:rsid w:val="008B66BF"/>
    <w:rsid w:val="008B6A29"/>
    <w:rsid w:val="008B6C52"/>
    <w:rsid w:val="008B7102"/>
    <w:rsid w:val="008B7309"/>
    <w:rsid w:val="008B73A1"/>
    <w:rsid w:val="008B747D"/>
    <w:rsid w:val="008B759A"/>
    <w:rsid w:val="008B768D"/>
    <w:rsid w:val="008B7C8A"/>
    <w:rsid w:val="008C03BD"/>
    <w:rsid w:val="008C055D"/>
    <w:rsid w:val="008C0D77"/>
    <w:rsid w:val="008C0DEC"/>
    <w:rsid w:val="008C0ECB"/>
    <w:rsid w:val="008C1860"/>
    <w:rsid w:val="008C195A"/>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3AB"/>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1F40"/>
    <w:rsid w:val="008D2080"/>
    <w:rsid w:val="008D2252"/>
    <w:rsid w:val="008D24A5"/>
    <w:rsid w:val="008D2D1B"/>
    <w:rsid w:val="008D300E"/>
    <w:rsid w:val="008D31AA"/>
    <w:rsid w:val="008D355C"/>
    <w:rsid w:val="008D3642"/>
    <w:rsid w:val="008D3D8C"/>
    <w:rsid w:val="008D457B"/>
    <w:rsid w:val="008D4AAF"/>
    <w:rsid w:val="008D4AD9"/>
    <w:rsid w:val="008D4B36"/>
    <w:rsid w:val="008D4D56"/>
    <w:rsid w:val="008D5204"/>
    <w:rsid w:val="008D5259"/>
    <w:rsid w:val="008D5398"/>
    <w:rsid w:val="008D5845"/>
    <w:rsid w:val="008D58EC"/>
    <w:rsid w:val="008D5A31"/>
    <w:rsid w:val="008D5DBF"/>
    <w:rsid w:val="008D632A"/>
    <w:rsid w:val="008D6C16"/>
    <w:rsid w:val="008D6CFE"/>
    <w:rsid w:val="008D7205"/>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25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4B0A"/>
    <w:rsid w:val="008F5229"/>
    <w:rsid w:val="008F54D0"/>
    <w:rsid w:val="008F5AA4"/>
    <w:rsid w:val="008F5D60"/>
    <w:rsid w:val="008F6458"/>
    <w:rsid w:val="008F64FF"/>
    <w:rsid w:val="008F6592"/>
    <w:rsid w:val="008F6957"/>
    <w:rsid w:val="008F69DD"/>
    <w:rsid w:val="008F69E6"/>
    <w:rsid w:val="008F722F"/>
    <w:rsid w:val="008F764B"/>
    <w:rsid w:val="008F7FA3"/>
    <w:rsid w:val="00900472"/>
    <w:rsid w:val="009008D0"/>
    <w:rsid w:val="009009C3"/>
    <w:rsid w:val="009009DE"/>
    <w:rsid w:val="00900C52"/>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21E"/>
    <w:rsid w:val="00904433"/>
    <w:rsid w:val="0090470D"/>
    <w:rsid w:val="009056FB"/>
    <w:rsid w:val="009058D2"/>
    <w:rsid w:val="00906411"/>
    <w:rsid w:val="00906821"/>
    <w:rsid w:val="00906CB1"/>
    <w:rsid w:val="00906D7E"/>
    <w:rsid w:val="0090730C"/>
    <w:rsid w:val="00907520"/>
    <w:rsid w:val="0090763E"/>
    <w:rsid w:val="0090767E"/>
    <w:rsid w:val="00907725"/>
    <w:rsid w:val="00907819"/>
    <w:rsid w:val="00907FA6"/>
    <w:rsid w:val="00910494"/>
    <w:rsid w:val="009108E9"/>
    <w:rsid w:val="00910AD8"/>
    <w:rsid w:val="00911712"/>
    <w:rsid w:val="009117D2"/>
    <w:rsid w:val="00911B7A"/>
    <w:rsid w:val="00911D4D"/>
    <w:rsid w:val="0091230A"/>
    <w:rsid w:val="00912498"/>
    <w:rsid w:val="00912604"/>
    <w:rsid w:val="00912A91"/>
    <w:rsid w:val="00912D34"/>
    <w:rsid w:val="00912E8D"/>
    <w:rsid w:val="0091306D"/>
    <w:rsid w:val="009135C6"/>
    <w:rsid w:val="00913759"/>
    <w:rsid w:val="00913B4C"/>
    <w:rsid w:val="00913D29"/>
    <w:rsid w:val="00914199"/>
    <w:rsid w:val="00914243"/>
    <w:rsid w:val="009142B0"/>
    <w:rsid w:val="009142BA"/>
    <w:rsid w:val="0091452D"/>
    <w:rsid w:val="0091464B"/>
    <w:rsid w:val="0091464F"/>
    <w:rsid w:val="00914800"/>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3F"/>
    <w:rsid w:val="009205B2"/>
    <w:rsid w:val="00920E65"/>
    <w:rsid w:val="00920FDC"/>
    <w:rsid w:val="0092126F"/>
    <w:rsid w:val="009214FF"/>
    <w:rsid w:val="00921D3C"/>
    <w:rsid w:val="00921D82"/>
    <w:rsid w:val="009220B7"/>
    <w:rsid w:val="009225B4"/>
    <w:rsid w:val="0092261D"/>
    <w:rsid w:val="009226A4"/>
    <w:rsid w:val="009229B1"/>
    <w:rsid w:val="00922A5F"/>
    <w:rsid w:val="00922F12"/>
    <w:rsid w:val="0092358E"/>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031"/>
    <w:rsid w:val="009273EC"/>
    <w:rsid w:val="009274CF"/>
    <w:rsid w:val="00927863"/>
    <w:rsid w:val="00927877"/>
    <w:rsid w:val="00927BBF"/>
    <w:rsid w:val="00927CB3"/>
    <w:rsid w:val="00927D48"/>
    <w:rsid w:val="00927F75"/>
    <w:rsid w:val="009302A0"/>
    <w:rsid w:val="0093057F"/>
    <w:rsid w:val="00930AB6"/>
    <w:rsid w:val="00930AFA"/>
    <w:rsid w:val="009319AC"/>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1E6"/>
    <w:rsid w:val="00936236"/>
    <w:rsid w:val="00936400"/>
    <w:rsid w:val="0093682F"/>
    <w:rsid w:val="00936CB1"/>
    <w:rsid w:val="00936D01"/>
    <w:rsid w:val="0093734F"/>
    <w:rsid w:val="009373BD"/>
    <w:rsid w:val="00937716"/>
    <w:rsid w:val="00937749"/>
    <w:rsid w:val="009403BD"/>
    <w:rsid w:val="00940CA3"/>
    <w:rsid w:val="00940D71"/>
    <w:rsid w:val="00940DC6"/>
    <w:rsid w:val="00940F65"/>
    <w:rsid w:val="009411A4"/>
    <w:rsid w:val="00941687"/>
    <w:rsid w:val="009417BA"/>
    <w:rsid w:val="009418F8"/>
    <w:rsid w:val="00941C46"/>
    <w:rsid w:val="00941D46"/>
    <w:rsid w:val="009422A2"/>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549"/>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2EB1"/>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011"/>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0B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DEA"/>
    <w:rsid w:val="009671DE"/>
    <w:rsid w:val="009673CD"/>
    <w:rsid w:val="009676F3"/>
    <w:rsid w:val="00967C5E"/>
    <w:rsid w:val="00967CAE"/>
    <w:rsid w:val="00970A4F"/>
    <w:rsid w:val="00970B8B"/>
    <w:rsid w:val="00970C01"/>
    <w:rsid w:val="00970E7C"/>
    <w:rsid w:val="0097128D"/>
    <w:rsid w:val="0097165A"/>
    <w:rsid w:val="009717AA"/>
    <w:rsid w:val="00971D1B"/>
    <w:rsid w:val="00971D61"/>
    <w:rsid w:val="00972A19"/>
    <w:rsid w:val="00972C4A"/>
    <w:rsid w:val="00972EBD"/>
    <w:rsid w:val="00973203"/>
    <w:rsid w:val="009732AD"/>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DE7"/>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20"/>
    <w:rsid w:val="00992D91"/>
    <w:rsid w:val="00992F02"/>
    <w:rsid w:val="00992F13"/>
    <w:rsid w:val="00993463"/>
    <w:rsid w:val="009934BB"/>
    <w:rsid w:val="0099373B"/>
    <w:rsid w:val="00993908"/>
    <w:rsid w:val="0099394B"/>
    <w:rsid w:val="00993A72"/>
    <w:rsid w:val="0099431B"/>
    <w:rsid w:val="0099480F"/>
    <w:rsid w:val="00994D63"/>
    <w:rsid w:val="00995012"/>
    <w:rsid w:val="00995055"/>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648"/>
    <w:rsid w:val="009B1EC0"/>
    <w:rsid w:val="009B21FC"/>
    <w:rsid w:val="009B24ED"/>
    <w:rsid w:val="009B253C"/>
    <w:rsid w:val="009B28BD"/>
    <w:rsid w:val="009B298A"/>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B7FB2"/>
    <w:rsid w:val="009C027F"/>
    <w:rsid w:val="009C08A8"/>
    <w:rsid w:val="009C0A67"/>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3E0"/>
    <w:rsid w:val="009D2504"/>
    <w:rsid w:val="009D28DE"/>
    <w:rsid w:val="009D2989"/>
    <w:rsid w:val="009D299F"/>
    <w:rsid w:val="009D2C3A"/>
    <w:rsid w:val="009D34F1"/>
    <w:rsid w:val="009D3FC1"/>
    <w:rsid w:val="009D40FB"/>
    <w:rsid w:val="009D43C3"/>
    <w:rsid w:val="009D504E"/>
    <w:rsid w:val="009D5318"/>
    <w:rsid w:val="009D5380"/>
    <w:rsid w:val="009D5F2F"/>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051"/>
    <w:rsid w:val="009E22EA"/>
    <w:rsid w:val="009E2765"/>
    <w:rsid w:val="009E2A48"/>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19D"/>
    <w:rsid w:val="009E61D3"/>
    <w:rsid w:val="009E63D5"/>
    <w:rsid w:val="009E68B4"/>
    <w:rsid w:val="009E6E98"/>
    <w:rsid w:val="009E6E9B"/>
    <w:rsid w:val="009E6FC8"/>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8A6"/>
    <w:rsid w:val="00A02C60"/>
    <w:rsid w:val="00A0300D"/>
    <w:rsid w:val="00A038B5"/>
    <w:rsid w:val="00A0414F"/>
    <w:rsid w:val="00A042E1"/>
    <w:rsid w:val="00A04926"/>
    <w:rsid w:val="00A04B3A"/>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7A0"/>
    <w:rsid w:val="00A0794E"/>
    <w:rsid w:val="00A07CE3"/>
    <w:rsid w:val="00A10318"/>
    <w:rsid w:val="00A10A86"/>
    <w:rsid w:val="00A10E09"/>
    <w:rsid w:val="00A11198"/>
    <w:rsid w:val="00A113BD"/>
    <w:rsid w:val="00A11BC0"/>
    <w:rsid w:val="00A11C07"/>
    <w:rsid w:val="00A11C15"/>
    <w:rsid w:val="00A11DAD"/>
    <w:rsid w:val="00A1265D"/>
    <w:rsid w:val="00A126F1"/>
    <w:rsid w:val="00A128E7"/>
    <w:rsid w:val="00A12D86"/>
    <w:rsid w:val="00A12D95"/>
    <w:rsid w:val="00A136D7"/>
    <w:rsid w:val="00A137D0"/>
    <w:rsid w:val="00A13924"/>
    <w:rsid w:val="00A13CE4"/>
    <w:rsid w:val="00A13D28"/>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177A7"/>
    <w:rsid w:val="00A178CC"/>
    <w:rsid w:val="00A179C3"/>
    <w:rsid w:val="00A2054D"/>
    <w:rsid w:val="00A205BB"/>
    <w:rsid w:val="00A20616"/>
    <w:rsid w:val="00A2066F"/>
    <w:rsid w:val="00A208F0"/>
    <w:rsid w:val="00A20B35"/>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AA3"/>
    <w:rsid w:val="00A23FC9"/>
    <w:rsid w:val="00A24462"/>
    <w:rsid w:val="00A249EA"/>
    <w:rsid w:val="00A24AAC"/>
    <w:rsid w:val="00A24D1E"/>
    <w:rsid w:val="00A24FB1"/>
    <w:rsid w:val="00A25024"/>
    <w:rsid w:val="00A251D5"/>
    <w:rsid w:val="00A2533F"/>
    <w:rsid w:val="00A261CE"/>
    <w:rsid w:val="00A262F2"/>
    <w:rsid w:val="00A2648E"/>
    <w:rsid w:val="00A265E1"/>
    <w:rsid w:val="00A26699"/>
    <w:rsid w:val="00A26718"/>
    <w:rsid w:val="00A26892"/>
    <w:rsid w:val="00A268DA"/>
    <w:rsid w:val="00A26D09"/>
    <w:rsid w:val="00A276B7"/>
    <w:rsid w:val="00A276E4"/>
    <w:rsid w:val="00A27763"/>
    <w:rsid w:val="00A279ED"/>
    <w:rsid w:val="00A27D1C"/>
    <w:rsid w:val="00A302BB"/>
    <w:rsid w:val="00A30422"/>
    <w:rsid w:val="00A30B36"/>
    <w:rsid w:val="00A310C3"/>
    <w:rsid w:val="00A3122E"/>
    <w:rsid w:val="00A31440"/>
    <w:rsid w:val="00A3193D"/>
    <w:rsid w:val="00A31B9D"/>
    <w:rsid w:val="00A31D26"/>
    <w:rsid w:val="00A31FF1"/>
    <w:rsid w:val="00A325DE"/>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C7B"/>
    <w:rsid w:val="00A35EBF"/>
    <w:rsid w:val="00A3625B"/>
    <w:rsid w:val="00A3627E"/>
    <w:rsid w:val="00A362F4"/>
    <w:rsid w:val="00A36820"/>
    <w:rsid w:val="00A3692C"/>
    <w:rsid w:val="00A37488"/>
    <w:rsid w:val="00A375D7"/>
    <w:rsid w:val="00A378CB"/>
    <w:rsid w:val="00A37C27"/>
    <w:rsid w:val="00A40022"/>
    <w:rsid w:val="00A400DB"/>
    <w:rsid w:val="00A40166"/>
    <w:rsid w:val="00A40187"/>
    <w:rsid w:val="00A40371"/>
    <w:rsid w:val="00A4063F"/>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1B9"/>
    <w:rsid w:val="00A5245C"/>
    <w:rsid w:val="00A5295E"/>
    <w:rsid w:val="00A52CF2"/>
    <w:rsid w:val="00A52F84"/>
    <w:rsid w:val="00A53579"/>
    <w:rsid w:val="00A537A9"/>
    <w:rsid w:val="00A53C98"/>
    <w:rsid w:val="00A54103"/>
    <w:rsid w:val="00A541ED"/>
    <w:rsid w:val="00A5475A"/>
    <w:rsid w:val="00A54F6B"/>
    <w:rsid w:val="00A54F6F"/>
    <w:rsid w:val="00A54FBA"/>
    <w:rsid w:val="00A5508C"/>
    <w:rsid w:val="00A550CE"/>
    <w:rsid w:val="00A55CC2"/>
    <w:rsid w:val="00A55E46"/>
    <w:rsid w:val="00A55ECD"/>
    <w:rsid w:val="00A56027"/>
    <w:rsid w:val="00A561AB"/>
    <w:rsid w:val="00A565A7"/>
    <w:rsid w:val="00A566B2"/>
    <w:rsid w:val="00A566FC"/>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05C"/>
    <w:rsid w:val="00A64429"/>
    <w:rsid w:val="00A6443A"/>
    <w:rsid w:val="00A64791"/>
    <w:rsid w:val="00A649D9"/>
    <w:rsid w:val="00A64F1A"/>
    <w:rsid w:val="00A65870"/>
    <w:rsid w:val="00A65B56"/>
    <w:rsid w:val="00A65F3D"/>
    <w:rsid w:val="00A66012"/>
    <w:rsid w:val="00A661F2"/>
    <w:rsid w:val="00A663AF"/>
    <w:rsid w:val="00A667AC"/>
    <w:rsid w:val="00A66AD4"/>
    <w:rsid w:val="00A6732F"/>
    <w:rsid w:val="00A67C8B"/>
    <w:rsid w:val="00A70206"/>
    <w:rsid w:val="00A70233"/>
    <w:rsid w:val="00A70C38"/>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3C5"/>
    <w:rsid w:val="00A76522"/>
    <w:rsid w:val="00A76A18"/>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28F"/>
    <w:rsid w:val="00A833D8"/>
    <w:rsid w:val="00A833DF"/>
    <w:rsid w:val="00A83E41"/>
    <w:rsid w:val="00A83E4A"/>
    <w:rsid w:val="00A84741"/>
    <w:rsid w:val="00A84BED"/>
    <w:rsid w:val="00A84F57"/>
    <w:rsid w:val="00A8505C"/>
    <w:rsid w:val="00A850E9"/>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02F"/>
    <w:rsid w:val="00A93757"/>
    <w:rsid w:val="00A938CF"/>
    <w:rsid w:val="00A93D50"/>
    <w:rsid w:val="00A9402B"/>
    <w:rsid w:val="00A943CE"/>
    <w:rsid w:val="00A94916"/>
    <w:rsid w:val="00A949C3"/>
    <w:rsid w:val="00A94EC8"/>
    <w:rsid w:val="00A951CD"/>
    <w:rsid w:val="00A95201"/>
    <w:rsid w:val="00A9522B"/>
    <w:rsid w:val="00A95461"/>
    <w:rsid w:val="00A95487"/>
    <w:rsid w:val="00A954D3"/>
    <w:rsid w:val="00A9557A"/>
    <w:rsid w:val="00A955FE"/>
    <w:rsid w:val="00A9593D"/>
    <w:rsid w:val="00A95A4C"/>
    <w:rsid w:val="00A95AD2"/>
    <w:rsid w:val="00A95FDF"/>
    <w:rsid w:val="00A96318"/>
    <w:rsid w:val="00A966EC"/>
    <w:rsid w:val="00A969ED"/>
    <w:rsid w:val="00A96D95"/>
    <w:rsid w:val="00A96E03"/>
    <w:rsid w:val="00A971EA"/>
    <w:rsid w:val="00A97416"/>
    <w:rsid w:val="00A97565"/>
    <w:rsid w:val="00A97AAF"/>
    <w:rsid w:val="00AA01C4"/>
    <w:rsid w:val="00AA02A7"/>
    <w:rsid w:val="00AA03E5"/>
    <w:rsid w:val="00AA07EC"/>
    <w:rsid w:val="00AA08D9"/>
    <w:rsid w:val="00AA0C27"/>
    <w:rsid w:val="00AA0DF2"/>
    <w:rsid w:val="00AA168B"/>
    <w:rsid w:val="00AA18C0"/>
    <w:rsid w:val="00AA19FA"/>
    <w:rsid w:val="00AA1B20"/>
    <w:rsid w:val="00AA1C83"/>
    <w:rsid w:val="00AA1DF8"/>
    <w:rsid w:val="00AA226D"/>
    <w:rsid w:val="00AA2317"/>
    <w:rsid w:val="00AA2AB2"/>
    <w:rsid w:val="00AA33A3"/>
    <w:rsid w:val="00AA3420"/>
    <w:rsid w:val="00AA3B33"/>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B75"/>
    <w:rsid w:val="00AA6E1E"/>
    <w:rsid w:val="00AA6EC4"/>
    <w:rsid w:val="00AA7124"/>
    <w:rsid w:val="00AA7D37"/>
    <w:rsid w:val="00AA7E33"/>
    <w:rsid w:val="00AB04D2"/>
    <w:rsid w:val="00AB0B65"/>
    <w:rsid w:val="00AB0BC6"/>
    <w:rsid w:val="00AB0C9F"/>
    <w:rsid w:val="00AB0E94"/>
    <w:rsid w:val="00AB106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6C4E"/>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208"/>
    <w:rsid w:val="00AE387B"/>
    <w:rsid w:val="00AE3D51"/>
    <w:rsid w:val="00AE3F92"/>
    <w:rsid w:val="00AE4015"/>
    <w:rsid w:val="00AE48E3"/>
    <w:rsid w:val="00AE4903"/>
    <w:rsid w:val="00AE4B12"/>
    <w:rsid w:val="00AE4FFF"/>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49B"/>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CBF"/>
    <w:rsid w:val="00B00DF2"/>
    <w:rsid w:val="00B01057"/>
    <w:rsid w:val="00B017FB"/>
    <w:rsid w:val="00B01854"/>
    <w:rsid w:val="00B01DCB"/>
    <w:rsid w:val="00B01EBC"/>
    <w:rsid w:val="00B01EF2"/>
    <w:rsid w:val="00B023A9"/>
    <w:rsid w:val="00B0270D"/>
    <w:rsid w:val="00B02CF5"/>
    <w:rsid w:val="00B02DA1"/>
    <w:rsid w:val="00B03257"/>
    <w:rsid w:val="00B035FA"/>
    <w:rsid w:val="00B0404F"/>
    <w:rsid w:val="00B04507"/>
    <w:rsid w:val="00B04661"/>
    <w:rsid w:val="00B04B1A"/>
    <w:rsid w:val="00B04C1E"/>
    <w:rsid w:val="00B04D1F"/>
    <w:rsid w:val="00B04E55"/>
    <w:rsid w:val="00B051D9"/>
    <w:rsid w:val="00B05A03"/>
    <w:rsid w:val="00B060F4"/>
    <w:rsid w:val="00B068BB"/>
    <w:rsid w:val="00B06AC6"/>
    <w:rsid w:val="00B06C94"/>
    <w:rsid w:val="00B06D6D"/>
    <w:rsid w:val="00B06F73"/>
    <w:rsid w:val="00B075F6"/>
    <w:rsid w:val="00B07B2B"/>
    <w:rsid w:val="00B07D28"/>
    <w:rsid w:val="00B10496"/>
    <w:rsid w:val="00B10527"/>
    <w:rsid w:val="00B111C1"/>
    <w:rsid w:val="00B113B5"/>
    <w:rsid w:val="00B11A76"/>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455"/>
    <w:rsid w:val="00B1558C"/>
    <w:rsid w:val="00B1589B"/>
    <w:rsid w:val="00B15A67"/>
    <w:rsid w:val="00B15C99"/>
    <w:rsid w:val="00B15D4D"/>
    <w:rsid w:val="00B15ECA"/>
    <w:rsid w:val="00B16046"/>
    <w:rsid w:val="00B16084"/>
    <w:rsid w:val="00B16978"/>
    <w:rsid w:val="00B16A51"/>
    <w:rsid w:val="00B16AFD"/>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DE"/>
    <w:rsid w:val="00B258F9"/>
    <w:rsid w:val="00B2599C"/>
    <w:rsid w:val="00B261FE"/>
    <w:rsid w:val="00B262B9"/>
    <w:rsid w:val="00B276AD"/>
    <w:rsid w:val="00B276C8"/>
    <w:rsid w:val="00B2771B"/>
    <w:rsid w:val="00B277F6"/>
    <w:rsid w:val="00B279B1"/>
    <w:rsid w:val="00B30197"/>
    <w:rsid w:val="00B30252"/>
    <w:rsid w:val="00B30290"/>
    <w:rsid w:val="00B3063E"/>
    <w:rsid w:val="00B30679"/>
    <w:rsid w:val="00B30B26"/>
    <w:rsid w:val="00B30C94"/>
    <w:rsid w:val="00B31067"/>
    <w:rsid w:val="00B31620"/>
    <w:rsid w:val="00B31951"/>
    <w:rsid w:val="00B319E3"/>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11B"/>
    <w:rsid w:val="00B35643"/>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06D"/>
    <w:rsid w:val="00B4313A"/>
    <w:rsid w:val="00B432E1"/>
    <w:rsid w:val="00B43415"/>
    <w:rsid w:val="00B4388B"/>
    <w:rsid w:val="00B43DFD"/>
    <w:rsid w:val="00B442E9"/>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0E7A"/>
    <w:rsid w:val="00B5125F"/>
    <w:rsid w:val="00B518AB"/>
    <w:rsid w:val="00B519B1"/>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4E4"/>
    <w:rsid w:val="00B54731"/>
    <w:rsid w:val="00B54B39"/>
    <w:rsid w:val="00B54C5F"/>
    <w:rsid w:val="00B54CC3"/>
    <w:rsid w:val="00B54F05"/>
    <w:rsid w:val="00B550B3"/>
    <w:rsid w:val="00B554E2"/>
    <w:rsid w:val="00B554F6"/>
    <w:rsid w:val="00B558B4"/>
    <w:rsid w:val="00B55DE7"/>
    <w:rsid w:val="00B56459"/>
    <w:rsid w:val="00B56608"/>
    <w:rsid w:val="00B56A97"/>
    <w:rsid w:val="00B56DD5"/>
    <w:rsid w:val="00B56E6B"/>
    <w:rsid w:val="00B56FC9"/>
    <w:rsid w:val="00B57059"/>
    <w:rsid w:val="00B57087"/>
    <w:rsid w:val="00B57B3F"/>
    <w:rsid w:val="00B57F78"/>
    <w:rsid w:val="00B60085"/>
    <w:rsid w:val="00B60424"/>
    <w:rsid w:val="00B6084E"/>
    <w:rsid w:val="00B60894"/>
    <w:rsid w:val="00B60E7E"/>
    <w:rsid w:val="00B619F7"/>
    <w:rsid w:val="00B61B7F"/>
    <w:rsid w:val="00B61DD7"/>
    <w:rsid w:val="00B61DDC"/>
    <w:rsid w:val="00B62A6A"/>
    <w:rsid w:val="00B62B72"/>
    <w:rsid w:val="00B63E0F"/>
    <w:rsid w:val="00B6447C"/>
    <w:rsid w:val="00B64971"/>
    <w:rsid w:val="00B651AB"/>
    <w:rsid w:val="00B6538D"/>
    <w:rsid w:val="00B65605"/>
    <w:rsid w:val="00B659DB"/>
    <w:rsid w:val="00B65B63"/>
    <w:rsid w:val="00B65D1D"/>
    <w:rsid w:val="00B65D84"/>
    <w:rsid w:val="00B65D8C"/>
    <w:rsid w:val="00B65DCF"/>
    <w:rsid w:val="00B65DFB"/>
    <w:rsid w:val="00B664A4"/>
    <w:rsid w:val="00B66861"/>
    <w:rsid w:val="00B66BD6"/>
    <w:rsid w:val="00B66BE7"/>
    <w:rsid w:val="00B66D92"/>
    <w:rsid w:val="00B677AD"/>
    <w:rsid w:val="00B67B84"/>
    <w:rsid w:val="00B67F4A"/>
    <w:rsid w:val="00B7023A"/>
    <w:rsid w:val="00B705D6"/>
    <w:rsid w:val="00B70E53"/>
    <w:rsid w:val="00B71DC2"/>
    <w:rsid w:val="00B71E8C"/>
    <w:rsid w:val="00B71FAC"/>
    <w:rsid w:val="00B72388"/>
    <w:rsid w:val="00B72602"/>
    <w:rsid w:val="00B727CB"/>
    <w:rsid w:val="00B72947"/>
    <w:rsid w:val="00B72A2D"/>
    <w:rsid w:val="00B72D20"/>
    <w:rsid w:val="00B737CC"/>
    <w:rsid w:val="00B73CBB"/>
    <w:rsid w:val="00B73EA1"/>
    <w:rsid w:val="00B73F7A"/>
    <w:rsid w:val="00B74137"/>
    <w:rsid w:val="00B742BD"/>
    <w:rsid w:val="00B743B4"/>
    <w:rsid w:val="00B74407"/>
    <w:rsid w:val="00B755A6"/>
    <w:rsid w:val="00B760B1"/>
    <w:rsid w:val="00B7646A"/>
    <w:rsid w:val="00B7682A"/>
    <w:rsid w:val="00B76CDC"/>
    <w:rsid w:val="00B76CDE"/>
    <w:rsid w:val="00B76DD1"/>
    <w:rsid w:val="00B76E3B"/>
    <w:rsid w:val="00B76F96"/>
    <w:rsid w:val="00B77494"/>
    <w:rsid w:val="00B77725"/>
    <w:rsid w:val="00B77881"/>
    <w:rsid w:val="00B77916"/>
    <w:rsid w:val="00B77F63"/>
    <w:rsid w:val="00B80000"/>
    <w:rsid w:val="00B801AB"/>
    <w:rsid w:val="00B804AE"/>
    <w:rsid w:val="00B8054A"/>
    <w:rsid w:val="00B80772"/>
    <w:rsid w:val="00B80992"/>
    <w:rsid w:val="00B80BDF"/>
    <w:rsid w:val="00B810AA"/>
    <w:rsid w:val="00B814F9"/>
    <w:rsid w:val="00B816A7"/>
    <w:rsid w:val="00B81C67"/>
    <w:rsid w:val="00B81DAE"/>
    <w:rsid w:val="00B8242C"/>
    <w:rsid w:val="00B826C4"/>
    <w:rsid w:val="00B8290A"/>
    <w:rsid w:val="00B82983"/>
    <w:rsid w:val="00B82AB9"/>
    <w:rsid w:val="00B82CF4"/>
    <w:rsid w:val="00B831D6"/>
    <w:rsid w:val="00B83247"/>
    <w:rsid w:val="00B83445"/>
    <w:rsid w:val="00B83536"/>
    <w:rsid w:val="00B838C3"/>
    <w:rsid w:val="00B841BD"/>
    <w:rsid w:val="00B84280"/>
    <w:rsid w:val="00B84308"/>
    <w:rsid w:val="00B84429"/>
    <w:rsid w:val="00B84573"/>
    <w:rsid w:val="00B84687"/>
    <w:rsid w:val="00B857C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42B"/>
    <w:rsid w:val="00B927A3"/>
    <w:rsid w:val="00B927E9"/>
    <w:rsid w:val="00B930E5"/>
    <w:rsid w:val="00B9320C"/>
    <w:rsid w:val="00B93661"/>
    <w:rsid w:val="00B93BFE"/>
    <w:rsid w:val="00B94222"/>
    <w:rsid w:val="00B94228"/>
    <w:rsid w:val="00B9432A"/>
    <w:rsid w:val="00B94376"/>
    <w:rsid w:val="00B947D0"/>
    <w:rsid w:val="00B94B37"/>
    <w:rsid w:val="00B94EFA"/>
    <w:rsid w:val="00B9523F"/>
    <w:rsid w:val="00B95304"/>
    <w:rsid w:val="00B95535"/>
    <w:rsid w:val="00B95554"/>
    <w:rsid w:val="00B957BC"/>
    <w:rsid w:val="00B95814"/>
    <w:rsid w:val="00B9584D"/>
    <w:rsid w:val="00B95D2B"/>
    <w:rsid w:val="00B95DBF"/>
    <w:rsid w:val="00B9636F"/>
    <w:rsid w:val="00B96444"/>
    <w:rsid w:val="00B96B2C"/>
    <w:rsid w:val="00B96C21"/>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43"/>
    <w:rsid w:val="00BA316D"/>
    <w:rsid w:val="00BA3426"/>
    <w:rsid w:val="00BA3731"/>
    <w:rsid w:val="00BA3E04"/>
    <w:rsid w:val="00BA405E"/>
    <w:rsid w:val="00BA4886"/>
    <w:rsid w:val="00BA4B5B"/>
    <w:rsid w:val="00BA4C51"/>
    <w:rsid w:val="00BA4D72"/>
    <w:rsid w:val="00BA5005"/>
    <w:rsid w:val="00BA56FA"/>
    <w:rsid w:val="00BA5738"/>
    <w:rsid w:val="00BA594F"/>
    <w:rsid w:val="00BA5BFF"/>
    <w:rsid w:val="00BA5F9B"/>
    <w:rsid w:val="00BA667A"/>
    <w:rsid w:val="00BA66E2"/>
    <w:rsid w:val="00BA67C2"/>
    <w:rsid w:val="00BA7181"/>
    <w:rsid w:val="00BA730C"/>
    <w:rsid w:val="00BA77B1"/>
    <w:rsid w:val="00BA78D7"/>
    <w:rsid w:val="00BA7C75"/>
    <w:rsid w:val="00BA7D4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7B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A0F"/>
    <w:rsid w:val="00BC1B4D"/>
    <w:rsid w:val="00BC1DDF"/>
    <w:rsid w:val="00BC1DF3"/>
    <w:rsid w:val="00BC278E"/>
    <w:rsid w:val="00BC292B"/>
    <w:rsid w:val="00BC2968"/>
    <w:rsid w:val="00BC2A77"/>
    <w:rsid w:val="00BC2BA5"/>
    <w:rsid w:val="00BC30B7"/>
    <w:rsid w:val="00BC33A9"/>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B8D"/>
    <w:rsid w:val="00BD0C22"/>
    <w:rsid w:val="00BD0E12"/>
    <w:rsid w:val="00BD0F92"/>
    <w:rsid w:val="00BD1236"/>
    <w:rsid w:val="00BD1349"/>
    <w:rsid w:val="00BD161C"/>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9B3"/>
    <w:rsid w:val="00BE09B9"/>
    <w:rsid w:val="00BE0CC9"/>
    <w:rsid w:val="00BE1279"/>
    <w:rsid w:val="00BE12E1"/>
    <w:rsid w:val="00BE1706"/>
    <w:rsid w:val="00BE192B"/>
    <w:rsid w:val="00BE210A"/>
    <w:rsid w:val="00BE232F"/>
    <w:rsid w:val="00BE2BE2"/>
    <w:rsid w:val="00BE2C14"/>
    <w:rsid w:val="00BE2FEA"/>
    <w:rsid w:val="00BE34B8"/>
    <w:rsid w:val="00BE3F78"/>
    <w:rsid w:val="00BE3F9A"/>
    <w:rsid w:val="00BE3FE9"/>
    <w:rsid w:val="00BE42DA"/>
    <w:rsid w:val="00BE43DD"/>
    <w:rsid w:val="00BE444F"/>
    <w:rsid w:val="00BE4715"/>
    <w:rsid w:val="00BE4EBA"/>
    <w:rsid w:val="00BE53BE"/>
    <w:rsid w:val="00BE5413"/>
    <w:rsid w:val="00BE57AC"/>
    <w:rsid w:val="00BE58AC"/>
    <w:rsid w:val="00BE5902"/>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2F1"/>
    <w:rsid w:val="00BF132E"/>
    <w:rsid w:val="00BF1869"/>
    <w:rsid w:val="00BF1A4A"/>
    <w:rsid w:val="00BF1C25"/>
    <w:rsid w:val="00BF2B7C"/>
    <w:rsid w:val="00BF2C77"/>
    <w:rsid w:val="00BF2E16"/>
    <w:rsid w:val="00BF31A4"/>
    <w:rsid w:val="00BF3386"/>
    <w:rsid w:val="00BF338E"/>
    <w:rsid w:val="00BF350A"/>
    <w:rsid w:val="00BF362D"/>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388"/>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4BF7"/>
    <w:rsid w:val="00C058A3"/>
    <w:rsid w:val="00C05B99"/>
    <w:rsid w:val="00C05D6C"/>
    <w:rsid w:val="00C066E3"/>
    <w:rsid w:val="00C069C6"/>
    <w:rsid w:val="00C07258"/>
    <w:rsid w:val="00C0752A"/>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0CE"/>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93"/>
    <w:rsid w:val="00C144F9"/>
    <w:rsid w:val="00C1454F"/>
    <w:rsid w:val="00C14881"/>
    <w:rsid w:val="00C14FBE"/>
    <w:rsid w:val="00C15081"/>
    <w:rsid w:val="00C1531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454"/>
    <w:rsid w:val="00C20568"/>
    <w:rsid w:val="00C209BF"/>
    <w:rsid w:val="00C20A15"/>
    <w:rsid w:val="00C21BCA"/>
    <w:rsid w:val="00C21D40"/>
    <w:rsid w:val="00C220D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3BA5"/>
    <w:rsid w:val="00C3400D"/>
    <w:rsid w:val="00C342A5"/>
    <w:rsid w:val="00C34648"/>
    <w:rsid w:val="00C34658"/>
    <w:rsid w:val="00C348ED"/>
    <w:rsid w:val="00C349C5"/>
    <w:rsid w:val="00C34CE7"/>
    <w:rsid w:val="00C34EC9"/>
    <w:rsid w:val="00C356F9"/>
    <w:rsid w:val="00C35714"/>
    <w:rsid w:val="00C357B8"/>
    <w:rsid w:val="00C357D0"/>
    <w:rsid w:val="00C365F9"/>
    <w:rsid w:val="00C3705B"/>
    <w:rsid w:val="00C37191"/>
    <w:rsid w:val="00C37379"/>
    <w:rsid w:val="00C3764E"/>
    <w:rsid w:val="00C37861"/>
    <w:rsid w:val="00C37B4E"/>
    <w:rsid w:val="00C37C3D"/>
    <w:rsid w:val="00C405B3"/>
    <w:rsid w:val="00C406A7"/>
    <w:rsid w:val="00C40BA5"/>
    <w:rsid w:val="00C4100C"/>
    <w:rsid w:val="00C4156A"/>
    <w:rsid w:val="00C4173B"/>
    <w:rsid w:val="00C41A8C"/>
    <w:rsid w:val="00C41AEF"/>
    <w:rsid w:val="00C420C5"/>
    <w:rsid w:val="00C423D4"/>
    <w:rsid w:val="00C429A2"/>
    <w:rsid w:val="00C432BA"/>
    <w:rsid w:val="00C4358E"/>
    <w:rsid w:val="00C437A8"/>
    <w:rsid w:val="00C438BD"/>
    <w:rsid w:val="00C43C05"/>
    <w:rsid w:val="00C43C23"/>
    <w:rsid w:val="00C44182"/>
    <w:rsid w:val="00C442D2"/>
    <w:rsid w:val="00C4445B"/>
    <w:rsid w:val="00C445EB"/>
    <w:rsid w:val="00C4479C"/>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47F23"/>
    <w:rsid w:val="00C50AC9"/>
    <w:rsid w:val="00C50C38"/>
    <w:rsid w:val="00C5107F"/>
    <w:rsid w:val="00C51370"/>
    <w:rsid w:val="00C518B6"/>
    <w:rsid w:val="00C51AD7"/>
    <w:rsid w:val="00C51BAE"/>
    <w:rsid w:val="00C51C4B"/>
    <w:rsid w:val="00C51D72"/>
    <w:rsid w:val="00C51FF0"/>
    <w:rsid w:val="00C521EB"/>
    <w:rsid w:val="00C522AE"/>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9C3"/>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406"/>
    <w:rsid w:val="00C66525"/>
    <w:rsid w:val="00C666FD"/>
    <w:rsid w:val="00C66738"/>
    <w:rsid w:val="00C66B54"/>
    <w:rsid w:val="00C6704E"/>
    <w:rsid w:val="00C672AA"/>
    <w:rsid w:val="00C674A4"/>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5E0F"/>
    <w:rsid w:val="00C75F04"/>
    <w:rsid w:val="00C760FF"/>
    <w:rsid w:val="00C76107"/>
    <w:rsid w:val="00C76384"/>
    <w:rsid w:val="00C76597"/>
    <w:rsid w:val="00C7669C"/>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30"/>
    <w:rsid w:val="00C932D2"/>
    <w:rsid w:val="00C93611"/>
    <w:rsid w:val="00C936A0"/>
    <w:rsid w:val="00C93889"/>
    <w:rsid w:val="00C93B20"/>
    <w:rsid w:val="00C93C8E"/>
    <w:rsid w:val="00C948C4"/>
    <w:rsid w:val="00C94ECC"/>
    <w:rsid w:val="00C95254"/>
    <w:rsid w:val="00C95903"/>
    <w:rsid w:val="00C95DDB"/>
    <w:rsid w:val="00C95FC5"/>
    <w:rsid w:val="00C96F0A"/>
    <w:rsid w:val="00C973B5"/>
    <w:rsid w:val="00C9761A"/>
    <w:rsid w:val="00C97621"/>
    <w:rsid w:val="00C977CC"/>
    <w:rsid w:val="00C97EC5"/>
    <w:rsid w:val="00C97EF8"/>
    <w:rsid w:val="00CA012A"/>
    <w:rsid w:val="00CA069B"/>
    <w:rsid w:val="00CA06EC"/>
    <w:rsid w:val="00CA0A6E"/>
    <w:rsid w:val="00CA0B86"/>
    <w:rsid w:val="00CA12C1"/>
    <w:rsid w:val="00CA1569"/>
    <w:rsid w:val="00CA19DB"/>
    <w:rsid w:val="00CA1B7E"/>
    <w:rsid w:val="00CA1BCC"/>
    <w:rsid w:val="00CA26A7"/>
    <w:rsid w:val="00CA30D9"/>
    <w:rsid w:val="00CA3368"/>
    <w:rsid w:val="00CA336B"/>
    <w:rsid w:val="00CA34F9"/>
    <w:rsid w:val="00CA3ADD"/>
    <w:rsid w:val="00CA4371"/>
    <w:rsid w:val="00CA4721"/>
    <w:rsid w:val="00CA4C47"/>
    <w:rsid w:val="00CA51A9"/>
    <w:rsid w:val="00CA5644"/>
    <w:rsid w:val="00CA5715"/>
    <w:rsid w:val="00CA5900"/>
    <w:rsid w:val="00CA5E2B"/>
    <w:rsid w:val="00CA6327"/>
    <w:rsid w:val="00CA64F5"/>
    <w:rsid w:val="00CA670F"/>
    <w:rsid w:val="00CA6A9B"/>
    <w:rsid w:val="00CA6B7B"/>
    <w:rsid w:val="00CA6CC7"/>
    <w:rsid w:val="00CA6D2A"/>
    <w:rsid w:val="00CA7881"/>
    <w:rsid w:val="00CA7D3F"/>
    <w:rsid w:val="00CB02CC"/>
    <w:rsid w:val="00CB0335"/>
    <w:rsid w:val="00CB09E2"/>
    <w:rsid w:val="00CB1070"/>
    <w:rsid w:val="00CB11A4"/>
    <w:rsid w:val="00CB12D2"/>
    <w:rsid w:val="00CB281A"/>
    <w:rsid w:val="00CB2A24"/>
    <w:rsid w:val="00CB2C1D"/>
    <w:rsid w:val="00CB2D76"/>
    <w:rsid w:val="00CB2EDB"/>
    <w:rsid w:val="00CB2FC0"/>
    <w:rsid w:val="00CB313D"/>
    <w:rsid w:val="00CB316A"/>
    <w:rsid w:val="00CB3515"/>
    <w:rsid w:val="00CB37D7"/>
    <w:rsid w:val="00CB4906"/>
    <w:rsid w:val="00CB4C77"/>
    <w:rsid w:val="00CB4D5C"/>
    <w:rsid w:val="00CB4D9C"/>
    <w:rsid w:val="00CB5420"/>
    <w:rsid w:val="00CB55D0"/>
    <w:rsid w:val="00CB5710"/>
    <w:rsid w:val="00CB5783"/>
    <w:rsid w:val="00CB63A8"/>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DDE"/>
    <w:rsid w:val="00CC1E34"/>
    <w:rsid w:val="00CC1FF2"/>
    <w:rsid w:val="00CC2134"/>
    <w:rsid w:val="00CC2421"/>
    <w:rsid w:val="00CC2913"/>
    <w:rsid w:val="00CC2FCC"/>
    <w:rsid w:val="00CC3092"/>
    <w:rsid w:val="00CC39B7"/>
    <w:rsid w:val="00CC3B4F"/>
    <w:rsid w:val="00CC3D08"/>
    <w:rsid w:val="00CC465D"/>
    <w:rsid w:val="00CC4686"/>
    <w:rsid w:val="00CC47B3"/>
    <w:rsid w:val="00CC4B19"/>
    <w:rsid w:val="00CC4BD5"/>
    <w:rsid w:val="00CC4C49"/>
    <w:rsid w:val="00CC4D47"/>
    <w:rsid w:val="00CC5010"/>
    <w:rsid w:val="00CC5199"/>
    <w:rsid w:val="00CC5D41"/>
    <w:rsid w:val="00CC5E8F"/>
    <w:rsid w:val="00CC612A"/>
    <w:rsid w:val="00CC6441"/>
    <w:rsid w:val="00CC692E"/>
    <w:rsid w:val="00CC6E42"/>
    <w:rsid w:val="00CC7175"/>
    <w:rsid w:val="00CC7AEE"/>
    <w:rsid w:val="00CD0012"/>
    <w:rsid w:val="00CD01C9"/>
    <w:rsid w:val="00CD034D"/>
    <w:rsid w:val="00CD0B39"/>
    <w:rsid w:val="00CD0F95"/>
    <w:rsid w:val="00CD1069"/>
    <w:rsid w:val="00CD14D5"/>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1"/>
    <w:rsid w:val="00CE176E"/>
    <w:rsid w:val="00CE19D6"/>
    <w:rsid w:val="00CE2952"/>
    <w:rsid w:val="00CE2B25"/>
    <w:rsid w:val="00CE2DA5"/>
    <w:rsid w:val="00CE3AD7"/>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7DE"/>
    <w:rsid w:val="00CE7EFD"/>
    <w:rsid w:val="00CF0A21"/>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B0E"/>
    <w:rsid w:val="00CF2DBA"/>
    <w:rsid w:val="00CF2E31"/>
    <w:rsid w:val="00CF2E53"/>
    <w:rsid w:val="00CF3378"/>
    <w:rsid w:val="00CF35BC"/>
    <w:rsid w:val="00CF36B5"/>
    <w:rsid w:val="00CF3A42"/>
    <w:rsid w:val="00CF3E6F"/>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A1C"/>
    <w:rsid w:val="00D02A3D"/>
    <w:rsid w:val="00D02B75"/>
    <w:rsid w:val="00D02C90"/>
    <w:rsid w:val="00D03544"/>
    <w:rsid w:val="00D0393E"/>
    <w:rsid w:val="00D03DA9"/>
    <w:rsid w:val="00D03F32"/>
    <w:rsid w:val="00D040A0"/>
    <w:rsid w:val="00D0454B"/>
    <w:rsid w:val="00D046F9"/>
    <w:rsid w:val="00D0470B"/>
    <w:rsid w:val="00D04A78"/>
    <w:rsid w:val="00D04B4E"/>
    <w:rsid w:val="00D04BFA"/>
    <w:rsid w:val="00D04CF6"/>
    <w:rsid w:val="00D04D9A"/>
    <w:rsid w:val="00D0511B"/>
    <w:rsid w:val="00D0527B"/>
    <w:rsid w:val="00D0531F"/>
    <w:rsid w:val="00D05340"/>
    <w:rsid w:val="00D05348"/>
    <w:rsid w:val="00D0570A"/>
    <w:rsid w:val="00D058F0"/>
    <w:rsid w:val="00D05F8A"/>
    <w:rsid w:val="00D06084"/>
    <w:rsid w:val="00D06506"/>
    <w:rsid w:val="00D070A9"/>
    <w:rsid w:val="00D07394"/>
    <w:rsid w:val="00D07AAA"/>
    <w:rsid w:val="00D07C5F"/>
    <w:rsid w:val="00D07DCF"/>
    <w:rsid w:val="00D07FB0"/>
    <w:rsid w:val="00D10206"/>
    <w:rsid w:val="00D1055D"/>
    <w:rsid w:val="00D10583"/>
    <w:rsid w:val="00D108AC"/>
    <w:rsid w:val="00D108B2"/>
    <w:rsid w:val="00D10B2A"/>
    <w:rsid w:val="00D11104"/>
    <w:rsid w:val="00D11399"/>
    <w:rsid w:val="00D1170D"/>
    <w:rsid w:val="00D11843"/>
    <w:rsid w:val="00D11C36"/>
    <w:rsid w:val="00D120BA"/>
    <w:rsid w:val="00D12565"/>
    <w:rsid w:val="00D127C7"/>
    <w:rsid w:val="00D129DB"/>
    <w:rsid w:val="00D13388"/>
    <w:rsid w:val="00D13462"/>
    <w:rsid w:val="00D134B1"/>
    <w:rsid w:val="00D138D3"/>
    <w:rsid w:val="00D13DB5"/>
    <w:rsid w:val="00D14044"/>
    <w:rsid w:val="00D140C0"/>
    <w:rsid w:val="00D1414A"/>
    <w:rsid w:val="00D14419"/>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1A8"/>
    <w:rsid w:val="00D224A1"/>
    <w:rsid w:val="00D22550"/>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03F"/>
    <w:rsid w:val="00D3017D"/>
    <w:rsid w:val="00D3029E"/>
    <w:rsid w:val="00D30399"/>
    <w:rsid w:val="00D30AC8"/>
    <w:rsid w:val="00D30D98"/>
    <w:rsid w:val="00D3123D"/>
    <w:rsid w:val="00D3180F"/>
    <w:rsid w:val="00D31923"/>
    <w:rsid w:val="00D31E74"/>
    <w:rsid w:val="00D31EB2"/>
    <w:rsid w:val="00D31F57"/>
    <w:rsid w:val="00D3291D"/>
    <w:rsid w:val="00D32D18"/>
    <w:rsid w:val="00D3356E"/>
    <w:rsid w:val="00D33774"/>
    <w:rsid w:val="00D338F5"/>
    <w:rsid w:val="00D3402E"/>
    <w:rsid w:val="00D3405E"/>
    <w:rsid w:val="00D340C9"/>
    <w:rsid w:val="00D3418C"/>
    <w:rsid w:val="00D34309"/>
    <w:rsid w:val="00D34AEA"/>
    <w:rsid w:val="00D34D72"/>
    <w:rsid w:val="00D34F53"/>
    <w:rsid w:val="00D351DA"/>
    <w:rsid w:val="00D3521C"/>
    <w:rsid w:val="00D352E6"/>
    <w:rsid w:val="00D3553B"/>
    <w:rsid w:val="00D3584E"/>
    <w:rsid w:val="00D359E2"/>
    <w:rsid w:val="00D364F7"/>
    <w:rsid w:val="00D367A0"/>
    <w:rsid w:val="00D36800"/>
    <w:rsid w:val="00D36D52"/>
    <w:rsid w:val="00D36F08"/>
    <w:rsid w:val="00D370C8"/>
    <w:rsid w:val="00D376C4"/>
    <w:rsid w:val="00D37CEC"/>
    <w:rsid w:val="00D37D5A"/>
    <w:rsid w:val="00D37DD0"/>
    <w:rsid w:val="00D37E71"/>
    <w:rsid w:val="00D37F18"/>
    <w:rsid w:val="00D4031D"/>
    <w:rsid w:val="00D40453"/>
    <w:rsid w:val="00D406F6"/>
    <w:rsid w:val="00D40A64"/>
    <w:rsid w:val="00D40ABA"/>
    <w:rsid w:val="00D40ABD"/>
    <w:rsid w:val="00D4121A"/>
    <w:rsid w:val="00D4160F"/>
    <w:rsid w:val="00D42161"/>
    <w:rsid w:val="00D42319"/>
    <w:rsid w:val="00D424AB"/>
    <w:rsid w:val="00D4272C"/>
    <w:rsid w:val="00D42BE2"/>
    <w:rsid w:val="00D42EF1"/>
    <w:rsid w:val="00D430FB"/>
    <w:rsid w:val="00D433F2"/>
    <w:rsid w:val="00D4360A"/>
    <w:rsid w:val="00D436E4"/>
    <w:rsid w:val="00D43933"/>
    <w:rsid w:val="00D43B2A"/>
    <w:rsid w:val="00D44269"/>
    <w:rsid w:val="00D44318"/>
    <w:rsid w:val="00D44367"/>
    <w:rsid w:val="00D443DF"/>
    <w:rsid w:val="00D44806"/>
    <w:rsid w:val="00D44B75"/>
    <w:rsid w:val="00D44CB2"/>
    <w:rsid w:val="00D44F65"/>
    <w:rsid w:val="00D45359"/>
    <w:rsid w:val="00D45502"/>
    <w:rsid w:val="00D456FD"/>
    <w:rsid w:val="00D45D02"/>
    <w:rsid w:val="00D46029"/>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26E"/>
    <w:rsid w:val="00D5166A"/>
    <w:rsid w:val="00D517BD"/>
    <w:rsid w:val="00D51938"/>
    <w:rsid w:val="00D5193F"/>
    <w:rsid w:val="00D51DBB"/>
    <w:rsid w:val="00D523A5"/>
    <w:rsid w:val="00D527B7"/>
    <w:rsid w:val="00D52885"/>
    <w:rsid w:val="00D52921"/>
    <w:rsid w:val="00D5298D"/>
    <w:rsid w:val="00D52B44"/>
    <w:rsid w:val="00D52C35"/>
    <w:rsid w:val="00D52C4E"/>
    <w:rsid w:val="00D53602"/>
    <w:rsid w:val="00D5378A"/>
    <w:rsid w:val="00D53BC4"/>
    <w:rsid w:val="00D544BD"/>
    <w:rsid w:val="00D5460E"/>
    <w:rsid w:val="00D54B80"/>
    <w:rsid w:val="00D54BB2"/>
    <w:rsid w:val="00D54F57"/>
    <w:rsid w:val="00D550AA"/>
    <w:rsid w:val="00D550AD"/>
    <w:rsid w:val="00D553AA"/>
    <w:rsid w:val="00D55C96"/>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8D2"/>
    <w:rsid w:val="00D60CA9"/>
    <w:rsid w:val="00D60FAC"/>
    <w:rsid w:val="00D6120F"/>
    <w:rsid w:val="00D613BE"/>
    <w:rsid w:val="00D617F1"/>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9C5"/>
    <w:rsid w:val="00D73AD9"/>
    <w:rsid w:val="00D7413C"/>
    <w:rsid w:val="00D74158"/>
    <w:rsid w:val="00D744AC"/>
    <w:rsid w:val="00D7455E"/>
    <w:rsid w:val="00D74588"/>
    <w:rsid w:val="00D749BB"/>
    <w:rsid w:val="00D749E8"/>
    <w:rsid w:val="00D74F7A"/>
    <w:rsid w:val="00D7500C"/>
    <w:rsid w:val="00D757E5"/>
    <w:rsid w:val="00D76526"/>
    <w:rsid w:val="00D76979"/>
    <w:rsid w:val="00D76A92"/>
    <w:rsid w:val="00D7707D"/>
    <w:rsid w:val="00D772AF"/>
    <w:rsid w:val="00D77AD2"/>
    <w:rsid w:val="00D77E13"/>
    <w:rsid w:val="00D77FEE"/>
    <w:rsid w:val="00D8001F"/>
    <w:rsid w:val="00D808CD"/>
    <w:rsid w:val="00D8113E"/>
    <w:rsid w:val="00D81365"/>
    <w:rsid w:val="00D8146C"/>
    <w:rsid w:val="00D820CB"/>
    <w:rsid w:val="00D8220B"/>
    <w:rsid w:val="00D8262F"/>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4FBE"/>
    <w:rsid w:val="00D85677"/>
    <w:rsid w:val="00D85727"/>
    <w:rsid w:val="00D85CA1"/>
    <w:rsid w:val="00D860E1"/>
    <w:rsid w:val="00D86390"/>
    <w:rsid w:val="00D8641D"/>
    <w:rsid w:val="00D86911"/>
    <w:rsid w:val="00D86924"/>
    <w:rsid w:val="00D86D10"/>
    <w:rsid w:val="00D87183"/>
    <w:rsid w:val="00D87ADD"/>
    <w:rsid w:val="00D87C93"/>
    <w:rsid w:val="00D904E9"/>
    <w:rsid w:val="00D9093F"/>
    <w:rsid w:val="00D90C3A"/>
    <w:rsid w:val="00D90D87"/>
    <w:rsid w:val="00D90DE2"/>
    <w:rsid w:val="00D90E06"/>
    <w:rsid w:val="00D91097"/>
    <w:rsid w:val="00D9173B"/>
    <w:rsid w:val="00D918F2"/>
    <w:rsid w:val="00D92069"/>
    <w:rsid w:val="00D9206B"/>
    <w:rsid w:val="00D9208B"/>
    <w:rsid w:val="00D92213"/>
    <w:rsid w:val="00D924BA"/>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1E4"/>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976"/>
    <w:rsid w:val="00DA4ADA"/>
    <w:rsid w:val="00DA4F56"/>
    <w:rsid w:val="00DA52B3"/>
    <w:rsid w:val="00DA5370"/>
    <w:rsid w:val="00DA554C"/>
    <w:rsid w:val="00DA6337"/>
    <w:rsid w:val="00DA6781"/>
    <w:rsid w:val="00DA713C"/>
    <w:rsid w:val="00DA7881"/>
    <w:rsid w:val="00DA78E3"/>
    <w:rsid w:val="00DA7EAA"/>
    <w:rsid w:val="00DB038E"/>
    <w:rsid w:val="00DB045D"/>
    <w:rsid w:val="00DB071F"/>
    <w:rsid w:val="00DB08EF"/>
    <w:rsid w:val="00DB19C7"/>
    <w:rsid w:val="00DB1AA5"/>
    <w:rsid w:val="00DB1D51"/>
    <w:rsid w:val="00DB29DA"/>
    <w:rsid w:val="00DB2D2D"/>
    <w:rsid w:val="00DB2E15"/>
    <w:rsid w:val="00DB2E69"/>
    <w:rsid w:val="00DB2E8C"/>
    <w:rsid w:val="00DB3128"/>
    <w:rsid w:val="00DB3459"/>
    <w:rsid w:val="00DB35A5"/>
    <w:rsid w:val="00DB36EF"/>
    <w:rsid w:val="00DB385C"/>
    <w:rsid w:val="00DB3C1E"/>
    <w:rsid w:val="00DB3C87"/>
    <w:rsid w:val="00DB3CAE"/>
    <w:rsid w:val="00DB3D33"/>
    <w:rsid w:val="00DB4563"/>
    <w:rsid w:val="00DB4807"/>
    <w:rsid w:val="00DB4EAC"/>
    <w:rsid w:val="00DB4FA1"/>
    <w:rsid w:val="00DB5149"/>
    <w:rsid w:val="00DB51E5"/>
    <w:rsid w:val="00DB5377"/>
    <w:rsid w:val="00DB53B7"/>
    <w:rsid w:val="00DB57CF"/>
    <w:rsid w:val="00DB5A0C"/>
    <w:rsid w:val="00DB5E10"/>
    <w:rsid w:val="00DB5ED5"/>
    <w:rsid w:val="00DB60F8"/>
    <w:rsid w:val="00DB60FE"/>
    <w:rsid w:val="00DB6284"/>
    <w:rsid w:val="00DB67D6"/>
    <w:rsid w:val="00DB6859"/>
    <w:rsid w:val="00DB6AC3"/>
    <w:rsid w:val="00DB6D3B"/>
    <w:rsid w:val="00DB6D87"/>
    <w:rsid w:val="00DB6E52"/>
    <w:rsid w:val="00DB76A2"/>
    <w:rsid w:val="00DB77D2"/>
    <w:rsid w:val="00DB782C"/>
    <w:rsid w:val="00DC0653"/>
    <w:rsid w:val="00DC0898"/>
    <w:rsid w:val="00DC0C89"/>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6EC4"/>
    <w:rsid w:val="00DC7090"/>
    <w:rsid w:val="00DC7A5B"/>
    <w:rsid w:val="00DC7ADF"/>
    <w:rsid w:val="00DC7BC8"/>
    <w:rsid w:val="00DC7E10"/>
    <w:rsid w:val="00DC7E6E"/>
    <w:rsid w:val="00DD00FC"/>
    <w:rsid w:val="00DD0664"/>
    <w:rsid w:val="00DD0888"/>
    <w:rsid w:val="00DD0B70"/>
    <w:rsid w:val="00DD0BF7"/>
    <w:rsid w:val="00DD0FC3"/>
    <w:rsid w:val="00DD15F9"/>
    <w:rsid w:val="00DD1BB6"/>
    <w:rsid w:val="00DD1BE6"/>
    <w:rsid w:val="00DD1F2B"/>
    <w:rsid w:val="00DD2102"/>
    <w:rsid w:val="00DD2AAE"/>
    <w:rsid w:val="00DD2B55"/>
    <w:rsid w:val="00DD2B6B"/>
    <w:rsid w:val="00DD2D75"/>
    <w:rsid w:val="00DD2D98"/>
    <w:rsid w:val="00DD328D"/>
    <w:rsid w:val="00DD34E6"/>
    <w:rsid w:val="00DD353C"/>
    <w:rsid w:val="00DD359D"/>
    <w:rsid w:val="00DD35CB"/>
    <w:rsid w:val="00DD40D9"/>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3D2"/>
    <w:rsid w:val="00DE3C1B"/>
    <w:rsid w:val="00DE3EE0"/>
    <w:rsid w:val="00DE4323"/>
    <w:rsid w:val="00DE4852"/>
    <w:rsid w:val="00DE49D3"/>
    <w:rsid w:val="00DE527A"/>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830"/>
    <w:rsid w:val="00DF1C5F"/>
    <w:rsid w:val="00DF2331"/>
    <w:rsid w:val="00DF26C2"/>
    <w:rsid w:val="00DF28C5"/>
    <w:rsid w:val="00DF2B58"/>
    <w:rsid w:val="00DF2BCE"/>
    <w:rsid w:val="00DF2F77"/>
    <w:rsid w:val="00DF3246"/>
    <w:rsid w:val="00DF3688"/>
    <w:rsid w:val="00DF3DC6"/>
    <w:rsid w:val="00DF3E78"/>
    <w:rsid w:val="00DF4024"/>
    <w:rsid w:val="00DF41AB"/>
    <w:rsid w:val="00DF4393"/>
    <w:rsid w:val="00DF4596"/>
    <w:rsid w:val="00DF46C3"/>
    <w:rsid w:val="00DF47AD"/>
    <w:rsid w:val="00DF48FD"/>
    <w:rsid w:val="00DF4B42"/>
    <w:rsid w:val="00DF4BCF"/>
    <w:rsid w:val="00DF4EF4"/>
    <w:rsid w:val="00DF52E5"/>
    <w:rsid w:val="00DF53D8"/>
    <w:rsid w:val="00DF5429"/>
    <w:rsid w:val="00DF595C"/>
    <w:rsid w:val="00DF6415"/>
    <w:rsid w:val="00DF663D"/>
    <w:rsid w:val="00DF66C5"/>
    <w:rsid w:val="00DF66EF"/>
    <w:rsid w:val="00DF684F"/>
    <w:rsid w:val="00DF6966"/>
    <w:rsid w:val="00DF69C3"/>
    <w:rsid w:val="00DF7492"/>
    <w:rsid w:val="00DF768E"/>
    <w:rsid w:val="00DF7704"/>
    <w:rsid w:val="00DF7861"/>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777"/>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337"/>
    <w:rsid w:val="00E06489"/>
    <w:rsid w:val="00E0678C"/>
    <w:rsid w:val="00E067BA"/>
    <w:rsid w:val="00E06996"/>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2B9"/>
    <w:rsid w:val="00E1287F"/>
    <w:rsid w:val="00E12991"/>
    <w:rsid w:val="00E131B8"/>
    <w:rsid w:val="00E132FF"/>
    <w:rsid w:val="00E135C6"/>
    <w:rsid w:val="00E136E7"/>
    <w:rsid w:val="00E139F6"/>
    <w:rsid w:val="00E13CCE"/>
    <w:rsid w:val="00E13D0F"/>
    <w:rsid w:val="00E13D7D"/>
    <w:rsid w:val="00E13DA2"/>
    <w:rsid w:val="00E13DD1"/>
    <w:rsid w:val="00E1419B"/>
    <w:rsid w:val="00E144B4"/>
    <w:rsid w:val="00E146D5"/>
    <w:rsid w:val="00E1490E"/>
    <w:rsid w:val="00E14B03"/>
    <w:rsid w:val="00E14B3D"/>
    <w:rsid w:val="00E15016"/>
    <w:rsid w:val="00E15064"/>
    <w:rsid w:val="00E152B7"/>
    <w:rsid w:val="00E152CE"/>
    <w:rsid w:val="00E1547B"/>
    <w:rsid w:val="00E1559C"/>
    <w:rsid w:val="00E1598A"/>
    <w:rsid w:val="00E15DAC"/>
    <w:rsid w:val="00E15E92"/>
    <w:rsid w:val="00E15EC8"/>
    <w:rsid w:val="00E15F0E"/>
    <w:rsid w:val="00E161B2"/>
    <w:rsid w:val="00E16259"/>
    <w:rsid w:val="00E16528"/>
    <w:rsid w:val="00E167FD"/>
    <w:rsid w:val="00E16931"/>
    <w:rsid w:val="00E16951"/>
    <w:rsid w:val="00E169B0"/>
    <w:rsid w:val="00E16A22"/>
    <w:rsid w:val="00E16B1D"/>
    <w:rsid w:val="00E16C83"/>
    <w:rsid w:val="00E16CB6"/>
    <w:rsid w:val="00E16E3B"/>
    <w:rsid w:val="00E16F98"/>
    <w:rsid w:val="00E17034"/>
    <w:rsid w:val="00E171FC"/>
    <w:rsid w:val="00E172ED"/>
    <w:rsid w:val="00E17585"/>
    <w:rsid w:val="00E17B1D"/>
    <w:rsid w:val="00E17B6D"/>
    <w:rsid w:val="00E2000C"/>
    <w:rsid w:val="00E209C7"/>
    <w:rsid w:val="00E20C74"/>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B59"/>
    <w:rsid w:val="00E24D52"/>
    <w:rsid w:val="00E26014"/>
    <w:rsid w:val="00E26138"/>
    <w:rsid w:val="00E262BC"/>
    <w:rsid w:val="00E2691A"/>
    <w:rsid w:val="00E2707E"/>
    <w:rsid w:val="00E2780B"/>
    <w:rsid w:val="00E278B0"/>
    <w:rsid w:val="00E27D17"/>
    <w:rsid w:val="00E30069"/>
    <w:rsid w:val="00E300AE"/>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D09"/>
    <w:rsid w:val="00E34EA4"/>
    <w:rsid w:val="00E356E5"/>
    <w:rsid w:val="00E358EB"/>
    <w:rsid w:val="00E35930"/>
    <w:rsid w:val="00E35BA0"/>
    <w:rsid w:val="00E35C77"/>
    <w:rsid w:val="00E35F3B"/>
    <w:rsid w:val="00E35FDE"/>
    <w:rsid w:val="00E36016"/>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12"/>
    <w:rsid w:val="00E41E4E"/>
    <w:rsid w:val="00E41EB0"/>
    <w:rsid w:val="00E4243C"/>
    <w:rsid w:val="00E428D1"/>
    <w:rsid w:val="00E42A43"/>
    <w:rsid w:val="00E42B5B"/>
    <w:rsid w:val="00E430DA"/>
    <w:rsid w:val="00E433F3"/>
    <w:rsid w:val="00E4398A"/>
    <w:rsid w:val="00E43DB0"/>
    <w:rsid w:val="00E43F27"/>
    <w:rsid w:val="00E4413C"/>
    <w:rsid w:val="00E44392"/>
    <w:rsid w:val="00E444A4"/>
    <w:rsid w:val="00E44668"/>
    <w:rsid w:val="00E4533E"/>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0652"/>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A5C"/>
    <w:rsid w:val="00E60C1A"/>
    <w:rsid w:val="00E60FD5"/>
    <w:rsid w:val="00E61CDF"/>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6A"/>
    <w:rsid w:val="00E658DB"/>
    <w:rsid w:val="00E659CF"/>
    <w:rsid w:val="00E65BCB"/>
    <w:rsid w:val="00E660F8"/>
    <w:rsid w:val="00E6627C"/>
    <w:rsid w:val="00E662D7"/>
    <w:rsid w:val="00E66577"/>
    <w:rsid w:val="00E66C66"/>
    <w:rsid w:val="00E67781"/>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5B5"/>
    <w:rsid w:val="00E74CC3"/>
    <w:rsid w:val="00E74F35"/>
    <w:rsid w:val="00E74F53"/>
    <w:rsid w:val="00E74F6F"/>
    <w:rsid w:val="00E75049"/>
    <w:rsid w:val="00E75077"/>
    <w:rsid w:val="00E7513F"/>
    <w:rsid w:val="00E75176"/>
    <w:rsid w:val="00E755B3"/>
    <w:rsid w:val="00E75772"/>
    <w:rsid w:val="00E757C8"/>
    <w:rsid w:val="00E758C3"/>
    <w:rsid w:val="00E75DD1"/>
    <w:rsid w:val="00E7608C"/>
    <w:rsid w:val="00E764CD"/>
    <w:rsid w:val="00E765DC"/>
    <w:rsid w:val="00E76A14"/>
    <w:rsid w:val="00E76B4B"/>
    <w:rsid w:val="00E77279"/>
    <w:rsid w:val="00E77C16"/>
    <w:rsid w:val="00E77CA8"/>
    <w:rsid w:val="00E77EEB"/>
    <w:rsid w:val="00E801EC"/>
    <w:rsid w:val="00E8031C"/>
    <w:rsid w:val="00E80358"/>
    <w:rsid w:val="00E8057E"/>
    <w:rsid w:val="00E80B5D"/>
    <w:rsid w:val="00E80C9A"/>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8E1"/>
    <w:rsid w:val="00E94C74"/>
    <w:rsid w:val="00E94EBC"/>
    <w:rsid w:val="00E95D12"/>
    <w:rsid w:val="00E95EA8"/>
    <w:rsid w:val="00E963C2"/>
    <w:rsid w:val="00E9688B"/>
    <w:rsid w:val="00E96CCE"/>
    <w:rsid w:val="00E96E00"/>
    <w:rsid w:val="00E96E72"/>
    <w:rsid w:val="00E96F50"/>
    <w:rsid w:val="00E97922"/>
    <w:rsid w:val="00EA0051"/>
    <w:rsid w:val="00EA0619"/>
    <w:rsid w:val="00EA0923"/>
    <w:rsid w:val="00EA0A6D"/>
    <w:rsid w:val="00EA0F9E"/>
    <w:rsid w:val="00EA1093"/>
    <w:rsid w:val="00EA1507"/>
    <w:rsid w:val="00EA1661"/>
    <w:rsid w:val="00EA1931"/>
    <w:rsid w:val="00EA22A9"/>
    <w:rsid w:val="00EA2566"/>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6B4"/>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2FFC"/>
    <w:rsid w:val="00EB300C"/>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096"/>
    <w:rsid w:val="00EC51F3"/>
    <w:rsid w:val="00EC5423"/>
    <w:rsid w:val="00EC5583"/>
    <w:rsid w:val="00EC55BA"/>
    <w:rsid w:val="00EC572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07"/>
    <w:rsid w:val="00ED1B9A"/>
    <w:rsid w:val="00ED1CFC"/>
    <w:rsid w:val="00ED21F1"/>
    <w:rsid w:val="00ED2A6C"/>
    <w:rsid w:val="00ED2DC3"/>
    <w:rsid w:val="00ED322A"/>
    <w:rsid w:val="00ED3714"/>
    <w:rsid w:val="00ED39DA"/>
    <w:rsid w:val="00ED3CE8"/>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496"/>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6FFE"/>
    <w:rsid w:val="00EE7117"/>
    <w:rsid w:val="00EE7282"/>
    <w:rsid w:val="00EE7408"/>
    <w:rsid w:val="00EE7630"/>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58B"/>
    <w:rsid w:val="00EF35F2"/>
    <w:rsid w:val="00EF376D"/>
    <w:rsid w:val="00EF3776"/>
    <w:rsid w:val="00EF37B1"/>
    <w:rsid w:val="00EF39A6"/>
    <w:rsid w:val="00EF3F8D"/>
    <w:rsid w:val="00EF4125"/>
    <w:rsid w:val="00EF4291"/>
    <w:rsid w:val="00EF4694"/>
    <w:rsid w:val="00EF4BFB"/>
    <w:rsid w:val="00EF4C8F"/>
    <w:rsid w:val="00EF4D4F"/>
    <w:rsid w:val="00EF4E14"/>
    <w:rsid w:val="00EF53AD"/>
    <w:rsid w:val="00EF5608"/>
    <w:rsid w:val="00EF5690"/>
    <w:rsid w:val="00EF5AAF"/>
    <w:rsid w:val="00EF5E3E"/>
    <w:rsid w:val="00EF5EE2"/>
    <w:rsid w:val="00EF6233"/>
    <w:rsid w:val="00EF636C"/>
    <w:rsid w:val="00EF672A"/>
    <w:rsid w:val="00EF69F5"/>
    <w:rsid w:val="00EF6B2B"/>
    <w:rsid w:val="00EF6DD5"/>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604"/>
    <w:rsid w:val="00F05869"/>
    <w:rsid w:val="00F058E8"/>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800"/>
    <w:rsid w:val="00F12967"/>
    <w:rsid w:val="00F129C3"/>
    <w:rsid w:val="00F129D0"/>
    <w:rsid w:val="00F12B22"/>
    <w:rsid w:val="00F13047"/>
    <w:rsid w:val="00F137BE"/>
    <w:rsid w:val="00F139A1"/>
    <w:rsid w:val="00F13AE0"/>
    <w:rsid w:val="00F143CB"/>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D12"/>
    <w:rsid w:val="00F25E2C"/>
    <w:rsid w:val="00F26A74"/>
    <w:rsid w:val="00F26CDD"/>
    <w:rsid w:val="00F271D1"/>
    <w:rsid w:val="00F274AE"/>
    <w:rsid w:val="00F277EA"/>
    <w:rsid w:val="00F27A86"/>
    <w:rsid w:val="00F27D03"/>
    <w:rsid w:val="00F27E37"/>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3769E"/>
    <w:rsid w:val="00F40206"/>
    <w:rsid w:val="00F40958"/>
    <w:rsid w:val="00F40DAA"/>
    <w:rsid w:val="00F41259"/>
    <w:rsid w:val="00F415BA"/>
    <w:rsid w:val="00F41744"/>
    <w:rsid w:val="00F41B44"/>
    <w:rsid w:val="00F41E57"/>
    <w:rsid w:val="00F42495"/>
    <w:rsid w:val="00F42502"/>
    <w:rsid w:val="00F42E03"/>
    <w:rsid w:val="00F42E12"/>
    <w:rsid w:val="00F42F27"/>
    <w:rsid w:val="00F42F55"/>
    <w:rsid w:val="00F436A8"/>
    <w:rsid w:val="00F437CB"/>
    <w:rsid w:val="00F4397D"/>
    <w:rsid w:val="00F43A64"/>
    <w:rsid w:val="00F444F8"/>
    <w:rsid w:val="00F4478B"/>
    <w:rsid w:val="00F45194"/>
    <w:rsid w:val="00F45301"/>
    <w:rsid w:val="00F455B8"/>
    <w:rsid w:val="00F45793"/>
    <w:rsid w:val="00F4582D"/>
    <w:rsid w:val="00F4596F"/>
    <w:rsid w:val="00F45AF8"/>
    <w:rsid w:val="00F45C65"/>
    <w:rsid w:val="00F45CF6"/>
    <w:rsid w:val="00F45ECC"/>
    <w:rsid w:val="00F46152"/>
    <w:rsid w:val="00F46C88"/>
    <w:rsid w:val="00F4703A"/>
    <w:rsid w:val="00F476D2"/>
    <w:rsid w:val="00F4788F"/>
    <w:rsid w:val="00F47A62"/>
    <w:rsid w:val="00F47D54"/>
    <w:rsid w:val="00F47F78"/>
    <w:rsid w:val="00F50209"/>
    <w:rsid w:val="00F50367"/>
    <w:rsid w:val="00F503FC"/>
    <w:rsid w:val="00F5085C"/>
    <w:rsid w:val="00F50C20"/>
    <w:rsid w:val="00F50FA0"/>
    <w:rsid w:val="00F512A3"/>
    <w:rsid w:val="00F51363"/>
    <w:rsid w:val="00F513E5"/>
    <w:rsid w:val="00F51744"/>
    <w:rsid w:val="00F5210E"/>
    <w:rsid w:val="00F524E4"/>
    <w:rsid w:val="00F526A4"/>
    <w:rsid w:val="00F527FA"/>
    <w:rsid w:val="00F52E5B"/>
    <w:rsid w:val="00F53061"/>
    <w:rsid w:val="00F539AE"/>
    <w:rsid w:val="00F53B9B"/>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94D"/>
    <w:rsid w:val="00F56ACB"/>
    <w:rsid w:val="00F56FFE"/>
    <w:rsid w:val="00F57798"/>
    <w:rsid w:val="00F5787C"/>
    <w:rsid w:val="00F57A93"/>
    <w:rsid w:val="00F57C4E"/>
    <w:rsid w:val="00F57DD6"/>
    <w:rsid w:val="00F60171"/>
    <w:rsid w:val="00F6031F"/>
    <w:rsid w:val="00F60400"/>
    <w:rsid w:val="00F606C7"/>
    <w:rsid w:val="00F6091E"/>
    <w:rsid w:val="00F60C55"/>
    <w:rsid w:val="00F61026"/>
    <w:rsid w:val="00F6193D"/>
    <w:rsid w:val="00F61A95"/>
    <w:rsid w:val="00F620E1"/>
    <w:rsid w:val="00F62558"/>
    <w:rsid w:val="00F62D55"/>
    <w:rsid w:val="00F631C0"/>
    <w:rsid w:val="00F634C2"/>
    <w:rsid w:val="00F635E0"/>
    <w:rsid w:val="00F63BA1"/>
    <w:rsid w:val="00F6425D"/>
    <w:rsid w:val="00F64BFF"/>
    <w:rsid w:val="00F650D0"/>
    <w:rsid w:val="00F654A8"/>
    <w:rsid w:val="00F65BD9"/>
    <w:rsid w:val="00F65C72"/>
    <w:rsid w:val="00F6662B"/>
    <w:rsid w:val="00F66AFF"/>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6F6"/>
    <w:rsid w:val="00F727CB"/>
    <w:rsid w:val="00F72C6D"/>
    <w:rsid w:val="00F72D49"/>
    <w:rsid w:val="00F73634"/>
    <w:rsid w:val="00F73A6C"/>
    <w:rsid w:val="00F74156"/>
    <w:rsid w:val="00F74253"/>
    <w:rsid w:val="00F74B51"/>
    <w:rsid w:val="00F74BA7"/>
    <w:rsid w:val="00F74CE2"/>
    <w:rsid w:val="00F74CE9"/>
    <w:rsid w:val="00F74F8D"/>
    <w:rsid w:val="00F75319"/>
    <w:rsid w:val="00F7552A"/>
    <w:rsid w:val="00F75767"/>
    <w:rsid w:val="00F75BAB"/>
    <w:rsid w:val="00F75D59"/>
    <w:rsid w:val="00F75EA7"/>
    <w:rsid w:val="00F75ED5"/>
    <w:rsid w:val="00F7600F"/>
    <w:rsid w:val="00F760C2"/>
    <w:rsid w:val="00F7613D"/>
    <w:rsid w:val="00F76226"/>
    <w:rsid w:val="00F763F4"/>
    <w:rsid w:val="00F765AC"/>
    <w:rsid w:val="00F7670D"/>
    <w:rsid w:val="00F76A83"/>
    <w:rsid w:val="00F76B45"/>
    <w:rsid w:val="00F76E7A"/>
    <w:rsid w:val="00F770D1"/>
    <w:rsid w:val="00F770EA"/>
    <w:rsid w:val="00F771F3"/>
    <w:rsid w:val="00F77246"/>
    <w:rsid w:val="00F772A3"/>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3AE"/>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53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5E76"/>
    <w:rsid w:val="00F962D9"/>
    <w:rsid w:val="00F96B1B"/>
    <w:rsid w:val="00F9743E"/>
    <w:rsid w:val="00F97638"/>
    <w:rsid w:val="00F97904"/>
    <w:rsid w:val="00F9790A"/>
    <w:rsid w:val="00F97B14"/>
    <w:rsid w:val="00F97F7B"/>
    <w:rsid w:val="00F97FF5"/>
    <w:rsid w:val="00FA0046"/>
    <w:rsid w:val="00FA0229"/>
    <w:rsid w:val="00FA04C6"/>
    <w:rsid w:val="00FA0972"/>
    <w:rsid w:val="00FA1023"/>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289"/>
    <w:rsid w:val="00FB566E"/>
    <w:rsid w:val="00FB57C3"/>
    <w:rsid w:val="00FB5A04"/>
    <w:rsid w:val="00FB5E2A"/>
    <w:rsid w:val="00FB63B6"/>
    <w:rsid w:val="00FB6878"/>
    <w:rsid w:val="00FB698D"/>
    <w:rsid w:val="00FB6D69"/>
    <w:rsid w:val="00FB706D"/>
    <w:rsid w:val="00FB71FF"/>
    <w:rsid w:val="00FB748F"/>
    <w:rsid w:val="00FB74C9"/>
    <w:rsid w:val="00FB751A"/>
    <w:rsid w:val="00FB7919"/>
    <w:rsid w:val="00FB7B95"/>
    <w:rsid w:val="00FB7E98"/>
    <w:rsid w:val="00FB7FC8"/>
    <w:rsid w:val="00FC00F6"/>
    <w:rsid w:val="00FC15DD"/>
    <w:rsid w:val="00FC16CE"/>
    <w:rsid w:val="00FC1769"/>
    <w:rsid w:val="00FC1803"/>
    <w:rsid w:val="00FC18A9"/>
    <w:rsid w:val="00FC1A8D"/>
    <w:rsid w:val="00FC1E9E"/>
    <w:rsid w:val="00FC21A4"/>
    <w:rsid w:val="00FC224C"/>
    <w:rsid w:val="00FC22D3"/>
    <w:rsid w:val="00FC241F"/>
    <w:rsid w:val="00FC2460"/>
    <w:rsid w:val="00FC266E"/>
    <w:rsid w:val="00FC26A8"/>
    <w:rsid w:val="00FC26D3"/>
    <w:rsid w:val="00FC2876"/>
    <w:rsid w:val="00FC2C22"/>
    <w:rsid w:val="00FC36BD"/>
    <w:rsid w:val="00FC3D75"/>
    <w:rsid w:val="00FC418A"/>
    <w:rsid w:val="00FC44DF"/>
    <w:rsid w:val="00FC4ABE"/>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BF"/>
    <w:rsid w:val="00FD0AF8"/>
    <w:rsid w:val="00FD0C81"/>
    <w:rsid w:val="00FD0EBA"/>
    <w:rsid w:val="00FD108D"/>
    <w:rsid w:val="00FD11A1"/>
    <w:rsid w:val="00FD174A"/>
    <w:rsid w:val="00FD1995"/>
    <w:rsid w:val="00FD23C3"/>
    <w:rsid w:val="00FD2578"/>
    <w:rsid w:val="00FD29B6"/>
    <w:rsid w:val="00FD2B54"/>
    <w:rsid w:val="00FD2B8F"/>
    <w:rsid w:val="00FD2F2B"/>
    <w:rsid w:val="00FD320B"/>
    <w:rsid w:val="00FD375E"/>
    <w:rsid w:val="00FD3B02"/>
    <w:rsid w:val="00FD3BD6"/>
    <w:rsid w:val="00FD3BE0"/>
    <w:rsid w:val="00FD3EBA"/>
    <w:rsid w:val="00FD46A7"/>
    <w:rsid w:val="00FD4BE8"/>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5A5"/>
    <w:rsid w:val="00FD767D"/>
    <w:rsid w:val="00FD76FC"/>
    <w:rsid w:val="00FD778E"/>
    <w:rsid w:val="00FE0275"/>
    <w:rsid w:val="00FE04B7"/>
    <w:rsid w:val="00FE05A4"/>
    <w:rsid w:val="00FE07DA"/>
    <w:rsid w:val="00FE0C01"/>
    <w:rsid w:val="00FE0C9D"/>
    <w:rsid w:val="00FE104D"/>
    <w:rsid w:val="00FE108A"/>
    <w:rsid w:val="00FE137F"/>
    <w:rsid w:val="00FE143A"/>
    <w:rsid w:val="00FE1A3C"/>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697"/>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17A"/>
    <w:rsid w:val="00FF13BD"/>
    <w:rsid w:val="00FF1852"/>
    <w:rsid w:val="00FF19C2"/>
    <w:rsid w:val="00FF1A0D"/>
    <w:rsid w:val="00FF1E28"/>
    <w:rsid w:val="00FF1F50"/>
    <w:rsid w:val="00FF2438"/>
    <w:rsid w:val="00FF273C"/>
    <w:rsid w:val="00FF32C0"/>
    <w:rsid w:val="00FF385E"/>
    <w:rsid w:val="00FF3BEC"/>
    <w:rsid w:val="00FF3CF7"/>
    <w:rsid w:val="00FF3D63"/>
    <w:rsid w:val="00FF3E2A"/>
    <w:rsid w:val="00FF4A35"/>
    <w:rsid w:val="00FF4C23"/>
    <w:rsid w:val="00FF4FFD"/>
    <w:rsid w:val="00FF51F0"/>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4D42"/>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ñ弌’i"/>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1,列出段落1 (文字),中等深浅网格 1 - 着色 21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1"/>
    <w:uiPriority w:val="99"/>
    <w:rsid w:val="00F143CB"/>
    <w:pPr>
      <w:spacing w:before="100" w:beforeAutospacing="1" w:after="100" w:afterAutospacing="1"/>
    </w:pPr>
    <w:rPr>
      <w:rFonts w:ascii="Calibri" w:eastAsia="Gulim" w:hAnsi="Calibri" w:cs="Calibri"/>
      <w:sz w:val="22"/>
      <w:szCs w:val="22"/>
      <w:lang w:val="en-US" w:eastAsia="ko-KR"/>
    </w:rPr>
  </w:style>
  <w:style w:type="character" w:styleId="aff2">
    <w:name w:val="Emphasis"/>
    <w:basedOn w:val="a2"/>
    <w:uiPriority w:val="20"/>
    <w:qFormat/>
    <w:rsid w:val="00F143CB"/>
    <w:rPr>
      <w:i/>
      <w:iCs/>
    </w:rPr>
  </w:style>
  <w:style w:type="character" w:customStyle="1" w:styleId="14">
    <w:name w:val="リスト段落 (文字)1"/>
    <w:aliases w:val="- Bullets (文字)1,列出段落 (文字),Lista1 (文字)1,?? ?? (文字)1,????? (文字)1,???? (文字)1,列出段落1 (文字)1,中等深浅网格 1 - 着色 21 (文字)1,列表段落 (文字),¥¡¡¡¡ì¬º¥¹¥È¶ÎÂä (文字)1,ÁÐ³ö¶ÎÂä (文字)1,列表段落1 (文字)1,—ño’i—Ž (文字)1,¥ê¥¹¥È¶ÎÂä (文字)1,1st level - Bullet List Paragraph (文字)1"/>
    <w:uiPriority w:val="34"/>
    <w:qFormat/>
    <w:rsid w:val="00456043"/>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031279">
      <w:bodyDiv w:val="1"/>
      <w:marLeft w:val="0"/>
      <w:marRight w:val="0"/>
      <w:marTop w:val="0"/>
      <w:marBottom w:val="0"/>
      <w:divBdr>
        <w:top w:val="none" w:sz="0" w:space="0" w:color="auto"/>
        <w:left w:val="none" w:sz="0" w:space="0" w:color="auto"/>
        <w:bottom w:val="none" w:sz="0" w:space="0" w:color="auto"/>
        <w:right w:val="none" w:sz="0" w:space="0" w:color="auto"/>
      </w:divBdr>
      <w:divsChild>
        <w:div w:id="44717153">
          <w:marLeft w:val="547"/>
          <w:marRight w:val="0"/>
          <w:marTop w:val="0"/>
          <w:marBottom w:val="0"/>
          <w:divBdr>
            <w:top w:val="none" w:sz="0" w:space="0" w:color="auto"/>
            <w:left w:val="none" w:sz="0" w:space="0" w:color="auto"/>
            <w:bottom w:val="none" w:sz="0" w:space="0" w:color="auto"/>
            <w:right w:val="none" w:sz="0" w:space="0" w:color="auto"/>
          </w:divBdr>
        </w:div>
        <w:div w:id="1268777652">
          <w:marLeft w:val="1166"/>
          <w:marRight w:val="0"/>
          <w:marTop w:val="0"/>
          <w:marBottom w:val="0"/>
          <w:divBdr>
            <w:top w:val="none" w:sz="0" w:space="0" w:color="auto"/>
            <w:left w:val="none" w:sz="0" w:space="0" w:color="auto"/>
            <w:bottom w:val="none" w:sz="0" w:space="0" w:color="auto"/>
            <w:right w:val="none" w:sz="0" w:space="0" w:color="auto"/>
          </w:divBdr>
        </w:div>
        <w:div w:id="1066418921">
          <w:marLeft w:val="1166"/>
          <w:marRight w:val="0"/>
          <w:marTop w:val="0"/>
          <w:marBottom w:val="0"/>
          <w:divBdr>
            <w:top w:val="none" w:sz="0" w:space="0" w:color="auto"/>
            <w:left w:val="none" w:sz="0" w:space="0" w:color="auto"/>
            <w:bottom w:val="none" w:sz="0" w:space="0" w:color="auto"/>
            <w:right w:val="none" w:sz="0" w:space="0" w:color="auto"/>
          </w:divBdr>
        </w:div>
        <w:div w:id="617835140">
          <w:marLeft w:val="547"/>
          <w:marRight w:val="0"/>
          <w:marTop w:val="0"/>
          <w:marBottom w:val="0"/>
          <w:divBdr>
            <w:top w:val="none" w:sz="0" w:space="0" w:color="auto"/>
            <w:left w:val="none" w:sz="0" w:space="0" w:color="auto"/>
            <w:bottom w:val="none" w:sz="0" w:space="0" w:color="auto"/>
            <w:right w:val="none" w:sz="0" w:space="0" w:color="auto"/>
          </w:divBdr>
        </w:div>
      </w:divsChild>
    </w:div>
    <w:div w:id="113064141">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41783">
      <w:bodyDiv w:val="1"/>
      <w:marLeft w:val="0"/>
      <w:marRight w:val="0"/>
      <w:marTop w:val="0"/>
      <w:marBottom w:val="0"/>
      <w:divBdr>
        <w:top w:val="none" w:sz="0" w:space="0" w:color="auto"/>
        <w:left w:val="none" w:sz="0" w:space="0" w:color="auto"/>
        <w:bottom w:val="none" w:sz="0" w:space="0" w:color="auto"/>
        <w:right w:val="none" w:sz="0" w:space="0" w:color="auto"/>
      </w:divBdr>
      <w:divsChild>
        <w:div w:id="806315089">
          <w:marLeft w:val="547"/>
          <w:marRight w:val="0"/>
          <w:marTop w:val="0"/>
          <w:marBottom w:val="0"/>
          <w:divBdr>
            <w:top w:val="none" w:sz="0" w:space="0" w:color="auto"/>
            <w:left w:val="none" w:sz="0" w:space="0" w:color="auto"/>
            <w:bottom w:val="none" w:sz="0" w:space="0" w:color="auto"/>
            <w:right w:val="none" w:sz="0" w:space="0" w:color="auto"/>
          </w:divBdr>
        </w:div>
        <w:div w:id="929315253">
          <w:marLeft w:val="547"/>
          <w:marRight w:val="0"/>
          <w:marTop w:val="0"/>
          <w:marBottom w:val="0"/>
          <w:divBdr>
            <w:top w:val="none" w:sz="0" w:space="0" w:color="auto"/>
            <w:left w:val="none" w:sz="0" w:space="0" w:color="auto"/>
            <w:bottom w:val="none" w:sz="0" w:space="0" w:color="auto"/>
            <w:right w:val="none" w:sz="0" w:space="0" w:color="auto"/>
          </w:divBdr>
        </w:div>
        <w:div w:id="2046442861">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525690">
      <w:bodyDiv w:val="1"/>
      <w:marLeft w:val="0"/>
      <w:marRight w:val="0"/>
      <w:marTop w:val="0"/>
      <w:marBottom w:val="0"/>
      <w:divBdr>
        <w:top w:val="none" w:sz="0" w:space="0" w:color="auto"/>
        <w:left w:val="none" w:sz="0" w:space="0" w:color="auto"/>
        <w:bottom w:val="none" w:sz="0" w:space="0" w:color="auto"/>
        <w:right w:val="none" w:sz="0" w:space="0" w:color="auto"/>
      </w:divBdr>
      <w:divsChild>
        <w:div w:id="1410885369">
          <w:marLeft w:val="706"/>
          <w:marRight w:val="0"/>
          <w:marTop w:val="58"/>
          <w:marBottom w:val="0"/>
          <w:divBdr>
            <w:top w:val="none" w:sz="0" w:space="0" w:color="auto"/>
            <w:left w:val="none" w:sz="0" w:space="0" w:color="auto"/>
            <w:bottom w:val="none" w:sz="0" w:space="0" w:color="auto"/>
            <w:right w:val="none" w:sz="0" w:space="0" w:color="auto"/>
          </w:divBdr>
        </w:div>
        <w:div w:id="451435956">
          <w:marLeft w:val="706"/>
          <w:marRight w:val="0"/>
          <w:marTop w:val="58"/>
          <w:marBottom w:val="0"/>
          <w:divBdr>
            <w:top w:val="none" w:sz="0" w:space="0" w:color="auto"/>
            <w:left w:val="none" w:sz="0" w:space="0" w:color="auto"/>
            <w:bottom w:val="none" w:sz="0" w:space="0" w:color="auto"/>
            <w:right w:val="none" w:sz="0" w:space="0" w:color="auto"/>
          </w:divBdr>
        </w:div>
        <w:div w:id="1374425028">
          <w:marLeft w:val="979"/>
          <w:marRight w:val="0"/>
          <w:marTop w:val="53"/>
          <w:marBottom w:val="0"/>
          <w:divBdr>
            <w:top w:val="none" w:sz="0" w:space="0" w:color="auto"/>
            <w:left w:val="none" w:sz="0" w:space="0" w:color="auto"/>
            <w:bottom w:val="none" w:sz="0" w:space="0" w:color="auto"/>
            <w:right w:val="none" w:sz="0" w:space="0" w:color="auto"/>
          </w:divBdr>
        </w:div>
        <w:div w:id="803541633">
          <w:marLeft w:val="706"/>
          <w:marRight w:val="0"/>
          <w:marTop w:val="58"/>
          <w:marBottom w:val="0"/>
          <w:divBdr>
            <w:top w:val="none" w:sz="0" w:space="0" w:color="auto"/>
            <w:left w:val="none" w:sz="0" w:space="0" w:color="auto"/>
            <w:bottom w:val="none" w:sz="0" w:space="0" w:color="auto"/>
            <w:right w:val="none" w:sz="0" w:space="0" w:color="auto"/>
          </w:divBdr>
        </w:div>
        <w:div w:id="1484934303">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1474295">
      <w:bodyDiv w:val="1"/>
      <w:marLeft w:val="0"/>
      <w:marRight w:val="0"/>
      <w:marTop w:val="0"/>
      <w:marBottom w:val="0"/>
      <w:divBdr>
        <w:top w:val="none" w:sz="0" w:space="0" w:color="auto"/>
        <w:left w:val="none" w:sz="0" w:space="0" w:color="auto"/>
        <w:bottom w:val="none" w:sz="0" w:space="0" w:color="auto"/>
        <w:right w:val="none" w:sz="0" w:space="0" w:color="auto"/>
      </w:divBdr>
      <w:divsChild>
        <w:div w:id="1358576224">
          <w:marLeft w:val="547"/>
          <w:marRight w:val="0"/>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227797">
      <w:bodyDiv w:val="1"/>
      <w:marLeft w:val="0"/>
      <w:marRight w:val="0"/>
      <w:marTop w:val="0"/>
      <w:marBottom w:val="0"/>
      <w:divBdr>
        <w:top w:val="none" w:sz="0" w:space="0" w:color="auto"/>
        <w:left w:val="none" w:sz="0" w:space="0" w:color="auto"/>
        <w:bottom w:val="none" w:sz="0" w:space="0" w:color="auto"/>
        <w:right w:val="none" w:sz="0" w:space="0" w:color="auto"/>
      </w:divBdr>
      <w:divsChild>
        <w:div w:id="2115244013">
          <w:marLeft w:val="979"/>
          <w:marRight w:val="0"/>
          <w:marTop w:val="4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45872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685308">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8421039">
      <w:bodyDiv w:val="1"/>
      <w:marLeft w:val="0"/>
      <w:marRight w:val="0"/>
      <w:marTop w:val="0"/>
      <w:marBottom w:val="0"/>
      <w:divBdr>
        <w:top w:val="none" w:sz="0" w:space="0" w:color="auto"/>
        <w:left w:val="none" w:sz="0" w:space="0" w:color="auto"/>
        <w:bottom w:val="none" w:sz="0" w:space="0" w:color="auto"/>
        <w:right w:val="none" w:sz="0" w:space="0" w:color="auto"/>
      </w:divBdr>
      <w:divsChild>
        <w:div w:id="779254177">
          <w:marLeft w:val="547"/>
          <w:marRight w:val="0"/>
          <w:marTop w:val="0"/>
          <w:marBottom w:val="0"/>
          <w:divBdr>
            <w:top w:val="none" w:sz="0" w:space="0" w:color="auto"/>
            <w:left w:val="none" w:sz="0" w:space="0" w:color="auto"/>
            <w:bottom w:val="none" w:sz="0" w:space="0" w:color="auto"/>
            <w:right w:val="none" w:sz="0" w:space="0" w:color="auto"/>
          </w:divBdr>
        </w:div>
        <w:div w:id="990795719">
          <w:marLeft w:val="547"/>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088553">
      <w:bodyDiv w:val="1"/>
      <w:marLeft w:val="0"/>
      <w:marRight w:val="0"/>
      <w:marTop w:val="0"/>
      <w:marBottom w:val="0"/>
      <w:divBdr>
        <w:top w:val="none" w:sz="0" w:space="0" w:color="auto"/>
        <w:left w:val="none" w:sz="0" w:space="0" w:color="auto"/>
        <w:bottom w:val="none" w:sz="0" w:space="0" w:color="auto"/>
        <w:right w:val="none" w:sz="0" w:space="0" w:color="auto"/>
      </w:divBdr>
      <w:divsChild>
        <w:div w:id="713653167">
          <w:marLeft w:val="979"/>
          <w:marRight w:val="0"/>
          <w:marTop w:val="4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7393625">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7901306">
      <w:bodyDiv w:val="1"/>
      <w:marLeft w:val="0"/>
      <w:marRight w:val="0"/>
      <w:marTop w:val="0"/>
      <w:marBottom w:val="0"/>
      <w:divBdr>
        <w:top w:val="none" w:sz="0" w:space="0" w:color="auto"/>
        <w:left w:val="none" w:sz="0" w:space="0" w:color="auto"/>
        <w:bottom w:val="none" w:sz="0" w:space="0" w:color="auto"/>
        <w:right w:val="none" w:sz="0" w:space="0" w:color="auto"/>
      </w:divBdr>
      <w:divsChild>
        <w:div w:id="1335956048">
          <w:marLeft w:val="547"/>
          <w:marRight w:val="0"/>
          <w:marTop w:val="0"/>
          <w:marBottom w:val="0"/>
          <w:divBdr>
            <w:top w:val="none" w:sz="0" w:space="0" w:color="auto"/>
            <w:left w:val="none" w:sz="0" w:space="0" w:color="auto"/>
            <w:bottom w:val="none" w:sz="0" w:space="0" w:color="auto"/>
            <w:right w:val="none" w:sz="0" w:space="0" w:color="auto"/>
          </w:divBdr>
        </w:div>
        <w:div w:id="1843617560">
          <w:marLeft w:val="547"/>
          <w:marRight w:val="0"/>
          <w:marTop w:val="0"/>
          <w:marBottom w:val="0"/>
          <w:divBdr>
            <w:top w:val="none" w:sz="0" w:space="0" w:color="auto"/>
            <w:left w:val="none" w:sz="0" w:space="0" w:color="auto"/>
            <w:bottom w:val="none" w:sz="0" w:space="0" w:color="auto"/>
            <w:right w:val="none" w:sz="0" w:space="0" w:color="auto"/>
          </w:divBdr>
        </w:div>
        <w:div w:id="2055275761">
          <w:marLeft w:val="547"/>
          <w:marRight w:val="0"/>
          <w:marTop w:val="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5471105">
      <w:bodyDiv w:val="1"/>
      <w:marLeft w:val="0"/>
      <w:marRight w:val="0"/>
      <w:marTop w:val="0"/>
      <w:marBottom w:val="0"/>
      <w:divBdr>
        <w:top w:val="none" w:sz="0" w:space="0" w:color="auto"/>
        <w:left w:val="none" w:sz="0" w:space="0" w:color="auto"/>
        <w:bottom w:val="none" w:sz="0" w:space="0" w:color="auto"/>
        <w:right w:val="none" w:sz="0" w:space="0" w:color="auto"/>
      </w:divBdr>
      <w:divsChild>
        <w:div w:id="1654869202">
          <w:marLeft w:val="547"/>
          <w:marRight w:val="0"/>
          <w:marTop w:val="0"/>
          <w:marBottom w:val="0"/>
          <w:divBdr>
            <w:top w:val="none" w:sz="0" w:space="0" w:color="auto"/>
            <w:left w:val="none" w:sz="0" w:space="0" w:color="auto"/>
            <w:bottom w:val="none" w:sz="0" w:space="0" w:color="auto"/>
            <w:right w:val="none" w:sz="0" w:space="0" w:color="auto"/>
          </w:divBdr>
        </w:div>
        <w:div w:id="993293836">
          <w:marLeft w:val="547"/>
          <w:marRight w:val="0"/>
          <w:marTop w:val="0"/>
          <w:marBottom w:val="0"/>
          <w:divBdr>
            <w:top w:val="none" w:sz="0" w:space="0" w:color="auto"/>
            <w:left w:val="none" w:sz="0" w:space="0" w:color="auto"/>
            <w:bottom w:val="none" w:sz="0" w:space="0" w:color="auto"/>
            <w:right w:val="none" w:sz="0" w:space="0" w:color="auto"/>
          </w:divBdr>
        </w:div>
        <w:div w:id="598367419">
          <w:marLeft w:val="1166"/>
          <w:marRight w:val="0"/>
          <w:marTop w:val="0"/>
          <w:marBottom w:val="0"/>
          <w:divBdr>
            <w:top w:val="none" w:sz="0" w:space="0" w:color="auto"/>
            <w:left w:val="none" w:sz="0" w:space="0" w:color="auto"/>
            <w:bottom w:val="none" w:sz="0" w:space="0" w:color="auto"/>
            <w:right w:val="none" w:sz="0" w:space="0" w:color="auto"/>
          </w:divBdr>
        </w:div>
        <w:div w:id="1670593185">
          <w:marLeft w:val="1800"/>
          <w:marRight w:val="0"/>
          <w:marTop w:val="0"/>
          <w:marBottom w:val="0"/>
          <w:divBdr>
            <w:top w:val="none" w:sz="0" w:space="0" w:color="auto"/>
            <w:left w:val="none" w:sz="0" w:space="0" w:color="auto"/>
            <w:bottom w:val="none" w:sz="0" w:space="0" w:color="auto"/>
            <w:right w:val="none" w:sz="0" w:space="0" w:color="auto"/>
          </w:divBdr>
        </w:div>
        <w:div w:id="1928223504">
          <w:marLeft w:val="1800"/>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302770">
      <w:bodyDiv w:val="1"/>
      <w:marLeft w:val="0"/>
      <w:marRight w:val="0"/>
      <w:marTop w:val="0"/>
      <w:marBottom w:val="0"/>
      <w:divBdr>
        <w:top w:val="none" w:sz="0" w:space="0" w:color="auto"/>
        <w:left w:val="none" w:sz="0" w:space="0" w:color="auto"/>
        <w:bottom w:val="none" w:sz="0" w:space="0" w:color="auto"/>
        <w:right w:val="none" w:sz="0" w:space="0" w:color="auto"/>
      </w:divBdr>
      <w:divsChild>
        <w:div w:id="88084295">
          <w:marLeft w:val="547"/>
          <w:marRight w:val="0"/>
          <w:marTop w:val="0"/>
          <w:marBottom w:val="0"/>
          <w:divBdr>
            <w:top w:val="none" w:sz="0" w:space="0" w:color="auto"/>
            <w:left w:val="none" w:sz="0" w:space="0" w:color="auto"/>
            <w:bottom w:val="none" w:sz="0" w:space="0" w:color="auto"/>
            <w:right w:val="none" w:sz="0" w:space="0" w:color="auto"/>
          </w:divBdr>
        </w:div>
        <w:div w:id="598561905">
          <w:marLeft w:val="547"/>
          <w:marRight w:val="0"/>
          <w:marTop w:val="0"/>
          <w:marBottom w:val="0"/>
          <w:divBdr>
            <w:top w:val="none" w:sz="0" w:space="0" w:color="auto"/>
            <w:left w:val="none" w:sz="0" w:space="0" w:color="auto"/>
            <w:bottom w:val="none" w:sz="0" w:space="0" w:color="auto"/>
            <w:right w:val="none" w:sz="0" w:space="0" w:color="auto"/>
          </w:divBdr>
        </w:div>
        <w:div w:id="429471543">
          <w:marLeft w:val="1166"/>
          <w:marRight w:val="0"/>
          <w:marTop w:val="0"/>
          <w:marBottom w:val="0"/>
          <w:divBdr>
            <w:top w:val="none" w:sz="0" w:space="0" w:color="auto"/>
            <w:left w:val="none" w:sz="0" w:space="0" w:color="auto"/>
            <w:bottom w:val="none" w:sz="0" w:space="0" w:color="auto"/>
            <w:right w:val="none" w:sz="0" w:space="0" w:color="auto"/>
          </w:divBdr>
        </w:div>
        <w:div w:id="420953066">
          <w:marLeft w:val="1800"/>
          <w:marRight w:val="0"/>
          <w:marTop w:val="0"/>
          <w:marBottom w:val="0"/>
          <w:divBdr>
            <w:top w:val="none" w:sz="0" w:space="0" w:color="auto"/>
            <w:left w:val="none" w:sz="0" w:space="0" w:color="auto"/>
            <w:bottom w:val="none" w:sz="0" w:space="0" w:color="auto"/>
            <w:right w:val="none" w:sz="0" w:space="0" w:color="auto"/>
          </w:divBdr>
        </w:div>
        <w:div w:id="1103451196">
          <w:marLeft w:val="1800"/>
          <w:marRight w:val="0"/>
          <w:marTop w:val="0"/>
          <w:marBottom w:val="0"/>
          <w:divBdr>
            <w:top w:val="none" w:sz="0" w:space="0" w:color="auto"/>
            <w:left w:val="none" w:sz="0" w:space="0" w:color="auto"/>
            <w:bottom w:val="none" w:sz="0" w:space="0" w:color="auto"/>
            <w:right w:val="none" w:sz="0" w:space="0" w:color="auto"/>
          </w:divBdr>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7935133">
      <w:bodyDiv w:val="1"/>
      <w:marLeft w:val="0"/>
      <w:marRight w:val="0"/>
      <w:marTop w:val="0"/>
      <w:marBottom w:val="0"/>
      <w:divBdr>
        <w:top w:val="none" w:sz="0" w:space="0" w:color="auto"/>
        <w:left w:val="none" w:sz="0" w:space="0" w:color="auto"/>
        <w:bottom w:val="none" w:sz="0" w:space="0" w:color="auto"/>
        <w:right w:val="none" w:sz="0" w:space="0" w:color="auto"/>
      </w:divBdr>
      <w:divsChild>
        <w:div w:id="288098262">
          <w:marLeft w:val="706"/>
          <w:marRight w:val="0"/>
          <w:marTop w:val="58"/>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024976">
      <w:bodyDiv w:val="1"/>
      <w:marLeft w:val="0"/>
      <w:marRight w:val="0"/>
      <w:marTop w:val="0"/>
      <w:marBottom w:val="0"/>
      <w:divBdr>
        <w:top w:val="none" w:sz="0" w:space="0" w:color="auto"/>
        <w:left w:val="none" w:sz="0" w:space="0" w:color="auto"/>
        <w:bottom w:val="none" w:sz="0" w:space="0" w:color="auto"/>
        <w:right w:val="none" w:sz="0" w:space="0" w:color="auto"/>
      </w:divBdr>
      <w:divsChild>
        <w:div w:id="1386219967">
          <w:marLeft w:val="547"/>
          <w:marRight w:val="0"/>
          <w:marTop w:val="0"/>
          <w:marBottom w:val="0"/>
          <w:divBdr>
            <w:top w:val="none" w:sz="0" w:space="0" w:color="auto"/>
            <w:left w:val="none" w:sz="0" w:space="0" w:color="auto"/>
            <w:bottom w:val="none" w:sz="0" w:space="0" w:color="auto"/>
            <w:right w:val="none" w:sz="0" w:space="0" w:color="auto"/>
          </w:divBdr>
        </w:div>
        <w:div w:id="595942024">
          <w:marLeft w:val="547"/>
          <w:marRight w:val="0"/>
          <w:marTop w:val="0"/>
          <w:marBottom w:val="0"/>
          <w:divBdr>
            <w:top w:val="none" w:sz="0" w:space="0" w:color="auto"/>
            <w:left w:val="none" w:sz="0" w:space="0" w:color="auto"/>
            <w:bottom w:val="none" w:sz="0" w:space="0" w:color="auto"/>
            <w:right w:val="none" w:sz="0" w:space="0" w:color="auto"/>
          </w:divBdr>
        </w:div>
      </w:divsChild>
    </w:div>
    <w:div w:id="885145211">
      <w:bodyDiv w:val="1"/>
      <w:marLeft w:val="0"/>
      <w:marRight w:val="0"/>
      <w:marTop w:val="0"/>
      <w:marBottom w:val="0"/>
      <w:divBdr>
        <w:top w:val="none" w:sz="0" w:space="0" w:color="auto"/>
        <w:left w:val="none" w:sz="0" w:space="0" w:color="auto"/>
        <w:bottom w:val="none" w:sz="0" w:space="0" w:color="auto"/>
        <w:right w:val="none" w:sz="0" w:space="0" w:color="auto"/>
      </w:divBdr>
      <w:divsChild>
        <w:div w:id="1519661671">
          <w:marLeft w:val="979"/>
          <w:marRight w:val="0"/>
          <w:marTop w:val="50"/>
          <w:marBottom w:val="0"/>
          <w:divBdr>
            <w:top w:val="none" w:sz="0" w:space="0" w:color="auto"/>
            <w:left w:val="none" w:sz="0" w:space="0" w:color="auto"/>
            <w:bottom w:val="none" w:sz="0" w:space="0" w:color="auto"/>
            <w:right w:val="none" w:sz="0" w:space="0" w:color="auto"/>
          </w:divBdr>
        </w:div>
        <w:div w:id="861667883">
          <w:marLeft w:val="979"/>
          <w:marRight w:val="0"/>
          <w:marTop w:val="50"/>
          <w:marBottom w:val="0"/>
          <w:divBdr>
            <w:top w:val="none" w:sz="0" w:space="0" w:color="auto"/>
            <w:left w:val="none" w:sz="0" w:space="0" w:color="auto"/>
            <w:bottom w:val="none" w:sz="0" w:space="0" w:color="auto"/>
            <w:right w:val="none" w:sz="0" w:space="0" w:color="auto"/>
          </w:divBdr>
        </w:div>
        <w:div w:id="1886209304">
          <w:marLeft w:val="979"/>
          <w:marRight w:val="0"/>
          <w:marTop w:val="50"/>
          <w:marBottom w:val="0"/>
          <w:divBdr>
            <w:top w:val="none" w:sz="0" w:space="0" w:color="auto"/>
            <w:left w:val="none" w:sz="0" w:space="0" w:color="auto"/>
            <w:bottom w:val="none" w:sz="0" w:space="0" w:color="auto"/>
            <w:right w:val="none" w:sz="0" w:space="0" w:color="auto"/>
          </w:divBdr>
        </w:div>
      </w:divsChild>
    </w:div>
    <w:div w:id="885415149">
      <w:bodyDiv w:val="1"/>
      <w:marLeft w:val="0"/>
      <w:marRight w:val="0"/>
      <w:marTop w:val="0"/>
      <w:marBottom w:val="0"/>
      <w:divBdr>
        <w:top w:val="none" w:sz="0" w:space="0" w:color="auto"/>
        <w:left w:val="none" w:sz="0" w:space="0" w:color="auto"/>
        <w:bottom w:val="none" w:sz="0" w:space="0" w:color="auto"/>
        <w:right w:val="none" w:sz="0" w:space="0" w:color="auto"/>
      </w:divBdr>
      <w:divsChild>
        <w:div w:id="1927687529">
          <w:marLeft w:val="547"/>
          <w:marRight w:val="0"/>
          <w:marTop w:val="0"/>
          <w:marBottom w:val="0"/>
          <w:divBdr>
            <w:top w:val="none" w:sz="0" w:space="0" w:color="auto"/>
            <w:left w:val="none" w:sz="0" w:space="0" w:color="auto"/>
            <w:bottom w:val="none" w:sz="0" w:space="0" w:color="auto"/>
            <w:right w:val="none" w:sz="0" w:space="0" w:color="auto"/>
          </w:divBdr>
        </w:div>
        <w:div w:id="1433475252">
          <w:marLeft w:val="547"/>
          <w:marRight w:val="0"/>
          <w:marTop w:val="0"/>
          <w:marBottom w:val="0"/>
          <w:divBdr>
            <w:top w:val="none" w:sz="0" w:space="0" w:color="auto"/>
            <w:left w:val="none" w:sz="0" w:space="0" w:color="auto"/>
            <w:bottom w:val="none" w:sz="0" w:space="0" w:color="auto"/>
            <w:right w:val="none" w:sz="0" w:space="0" w:color="auto"/>
          </w:divBdr>
        </w:div>
        <w:div w:id="924418031">
          <w:marLeft w:val="547"/>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5524454">
      <w:bodyDiv w:val="1"/>
      <w:marLeft w:val="0"/>
      <w:marRight w:val="0"/>
      <w:marTop w:val="0"/>
      <w:marBottom w:val="0"/>
      <w:divBdr>
        <w:top w:val="none" w:sz="0" w:space="0" w:color="auto"/>
        <w:left w:val="none" w:sz="0" w:space="0" w:color="auto"/>
        <w:bottom w:val="none" w:sz="0" w:space="0" w:color="auto"/>
        <w:right w:val="none" w:sz="0" w:space="0" w:color="auto"/>
      </w:divBdr>
      <w:divsChild>
        <w:div w:id="1434939721">
          <w:marLeft w:val="1541"/>
          <w:marRight w:val="0"/>
          <w:marTop w:val="50"/>
          <w:marBottom w:val="0"/>
          <w:divBdr>
            <w:top w:val="none" w:sz="0" w:space="0" w:color="auto"/>
            <w:left w:val="none" w:sz="0" w:space="0" w:color="auto"/>
            <w:bottom w:val="none" w:sz="0" w:space="0" w:color="auto"/>
            <w:right w:val="none" w:sz="0" w:space="0" w:color="auto"/>
          </w:divBdr>
        </w:div>
      </w:divsChild>
    </w:div>
    <w:div w:id="974136639">
      <w:bodyDiv w:val="1"/>
      <w:marLeft w:val="0"/>
      <w:marRight w:val="0"/>
      <w:marTop w:val="0"/>
      <w:marBottom w:val="0"/>
      <w:divBdr>
        <w:top w:val="none" w:sz="0" w:space="0" w:color="auto"/>
        <w:left w:val="none" w:sz="0" w:space="0" w:color="auto"/>
        <w:bottom w:val="none" w:sz="0" w:space="0" w:color="auto"/>
        <w:right w:val="none" w:sz="0" w:space="0" w:color="auto"/>
      </w:divBdr>
      <w:divsChild>
        <w:div w:id="1869444469">
          <w:marLeft w:val="706"/>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302315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8038445">
      <w:bodyDiv w:val="1"/>
      <w:marLeft w:val="0"/>
      <w:marRight w:val="0"/>
      <w:marTop w:val="0"/>
      <w:marBottom w:val="0"/>
      <w:divBdr>
        <w:top w:val="none" w:sz="0" w:space="0" w:color="auto"/>
        <w:left w:val="none" w:sz="0" w:space="0" w:color="auto"/>
        <w:bottom w:val="none" w:sz="0" w:space="0" w:color="auto"/>
        <w:right w:val="none" w:sz="0" w:space="0" w:color="auto"/>
      </w:divBdr>
      <w:divsChild>
        <w:div w:id="296377667">
          <w:marLeft w:val="547"/>
          <w:marRight w:val="0"/>
          <w:marTop w:val="0"/>
          <w:marBottom w:val="0"/>
          <w:divBdr>
            <w:top w:val="none" w:sz="0" w:space="0" w:color="auto"/>
            <w:left w:val="none" w:sz="0" w:space="0" w:color="auto"/>
            <w:bottom w:val="none" w:sz="0" w:space="0" w:color="auto"/>
            <w:right w:val="none" w:sz="0" w:space="0" w:color="auto"/>
          </w:divBdr>
        </w:div>
        <w:div w:id="435518600">
          <w:marLeft w:val="1166"/>
          <w:marRight w:val="0"/>
          <w:marTop w:val="0"/>
          <w:marBottom w:val="0"/>
          <w:divBdr>
            <w:top w:val="none" w:sz="0" w:space="0" w:color="auto"/>
            <w:left w:val="none" w:sz="0" w:space="0" w:color="auto"/>
            <w:bottom w:val="none" w:sz="0" w:space="0" w:color="auto"/>
            <w:right w:val="none" w:sz="0" w:space="0" w:color="auto"/>
          </w:divBdr>
        </w:div>
        <w:div w:id="1364474611">
          <w:marLeft w:val="1166"/>
          <w:marRight w:val="0"/>
          <w:marTop w:val="0"/>
          <w:marBottom w:val="0"/>
          <w:divBdr>
            <w:top w:val="none" w:sz="0" w:space="0" w:color="auto"/>
            <w:left w:val="none" w:sz="0" w:space="0" w:color="auto"/>
            <w:bottom w:val="none" w:sz="0" w:space="0" w:color="auto"/>
            <w:right w:val="none" w:sz="0" w:space="0" w:color="auto"/>
          </w:divBdr>
        </w:div>
        <w:div w:id="1921401425">
          <w:marLeft w:val="1166"/>
          <w:marRight w:val="0"/>
          <w:marTop w:val="0"/>
          <w:marBottom w:val="0"/>
          <w:divBdr>
            <w:top w:val="none" w:sz="0" w:space="0" w:color="auto"/>
            <w:left w:val="none" w:sz="0" w:space="0" w:color="auto"/>
            <w:bottom w:val="none" w:sz="0" w:space="0" w:color="auto"/>
            <w:right w:val="none" w:sz="0" w:space="0" w:color="auto"/>
          </w:divBdr>
        </w:div>
        <w:div w:id="1956865701">
          <w:marLeft w:val="1166"/>
          <w:marRight w:val="0"/>
          <w:marTop w:val="0"/>
          <w:marBottom w:val="0"/>
          <w:divBdr>
            <w:top w:val="none" w:sz="0" w:space="0" w:color="auto"/>
            <w:left w:val="none" w:sz="0" w:space="0" w:color="auto"/>
            <w:bottom w:val="none" w:sz="0" w:space="0" w:color="auto"/>
            <w:right w:val="none" w:sz="0" w:space="0" w:color="auto"/>
          </w:divBdr>
        </w:div>
        <w:div w:id="1573929492">
          <w:marLeft w:val="547"/>
          <w:marRight w:val="0"/>
          <w:marTop w:val="0"/>
          <w:marBottom w:val="0"/>
          <w:divBdr>
            <w:top w:val="none" w:sz="0" w:space="0" w:color="auto"/>
            <w:left w:val="none" w:sz="0" w:space="0" w:color="auto"/>
            <w:bottom w:val="none" w:sz="0" w:space="0" w:color="auto"/>
            <w:right w:val="none" w:sz="0" w:space="0" w:color="auto"/>
          </w:divBdr>
        </w:div>
        <w:div w:id="928197633">
          <w:marLeft w:val="547"/>
          <w:marRight w:val="0"/>
          <w:marTop w:val="0"/>
          <w:marBottom w:val="0"/>
          <w:divBdr>
            <w:top w:val="none" w:sz="0" w:space="0" w:color="auto"/>
            <w:left w:val="none" w:sz="0" w:space="0" w:color="auto"/>
            <w:bottom w:val="none" w:sz="0" w:space="0" w:color="auto"/>
            <w:right w:val="none" w:sz="0" w:space="0" w:color="auto"/>
          </w:divBdr>
        </w:div>
      </w:divsChild>
    </w:div>
    <w:div w:id="1143693911">
      <w:bodyDiv w:val="1"/>
      <w:marLeft w:val="0"/>
      <w:marRight w:val="0"/>
      <w:marTop w:val="0"/>
      <w:marBottom w:val="0"/>
      <w:divBdr>
        <w:top w:val="none" w:sz="0" w:space="0" w:color="auto"/>
        <w:left w:val="none" w:sz="0" w:space="0" w:color="auto"/>
        <w:bottom w:val="none" w:sz="0" w:space="0" w:color="auto"/>
        <w:right w:val="none" w:sz="0" w:space="0" w:color="auto"/>
      </w:divBdr>
      <w:divsChild>
        <w:div w:id="1996762904">
          <w:marLeft w:val="979"/>
          <w:marRight w:val="0"/>
          <w:marTop w:val="53"/>
          <w:marBottom w:val="0"/>
          <w:divBdr>
            <w:top w:val="none" w:sz="0" w:space="0" w:color="auto"/>
            <w:left w:val="none" w:sz="0" w:space="0" w:color="auto"/>
            <w:bottom w:val="none" w:sz="0" w:space="0" w:color="auto"/>
            <w:right w:val="none" w:sz="0" w:space="0" w:color="auto"/>
          </w:divBdr>
        </w:div>
      </w:divsChild>
    </w:div>
    <w:div w:id="1156190570">
      <w:bodyDiv w:val="1"/>
      <w:marLeft w:val="0"/>
      <w:marRight w:val="0"/>
      <w:marTop w:val="0"/>
      <w:marBottom w:val="0"/>
      <w:divBdr>
        <w:top w:val="none" w:sz="0" w:space="0" w:color="auto"/>
        <w:left w:val="none" w:sz="0" w:space="0" w:color="auto"/>
        <w:bottom w:val="none" w:sz="0" w:space="0" w:color="auto"/>
        <w:right w:val="none" w:sz="0" w:space="0" w:color="auto"/>
      </w:divBdr>
      <w:divsChild>
        <w:div w:id="268464181">
          <w:marLeft w:val="547"/>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09561792">
      <w:bodyDiv w:val="1"/>
      <w:marLeft w:val="0"/>
      <w:marRight w:val="0"/>
      <w:marTop w:val="0"/>
      <w:marBottom w:val="0"/>
      <w:divBdr>
        <w:top w:val="none" w:sz="0" w:space="0" w:color="auto"/>
        <w:left w:val="none" w:sz="0" w:space="0" w:color="auto"/>
        <w:bottom w:val="none" w:sz="0" w:space="0" w:color="auto"/>
        <w:right w:val="none" w:sz="0" w:space="0" w:color="auto"/>
      </w:divBdr>
      <w:divsChild>
        <w:div w:id="831876794">
          <w:marLeft w:val="706"/>
          <w:marRight w:val="0"/>
          <w:marTop w:val="58"/>
          <w:marBottom w:val="0"/>
          <w:divBdr>
            <w:top w:val="none" w:sz="0" w:space="0" w:color="auto"/>
            <w:left w:val="none" w:sz="0" w:space="0" w:color="auto"/>
            <w:bottom w:val="none" w:sz="0" w:space="0" w:color="auto"/>
            <w:right w:val="none" w:sz="0" w:space="0" w:color="auto"/>
          </w:divBdr>
        </w:div>
        <w:div w:id="814839291">
          <w:marLeft w:val="706"/>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063767">
      <w:bodyDiv w:val="1"/>
      <w:marLeft w:val="0"/>
      <w:marRight w:val="0"/>
      <w:marTop w:val="0"/>
      <w:marBottom w:val="0"/>
      <w:divBdr>
        <w:top w:val="none" w:sz="0" w:space="0" w:color="auto"/>
        <w:left w:val="none" w:sz="0" w:space="0" w:color="auto"/>
        <w:bottom w:val="none" w:sz="0" w:space="0" w:color="auto"/>
        <w:right w:val="none" w:sz="0" w:space="0" w:color="auto"/>
      </w:divBdr>
      <w:divsChild>
        <w:div w:id="869612265">
          <w:marLeft w:val="547"/>
          <w:marRight w:val="0"/>
          <w:marTop w:val="0"/>
          <w:marBottom w:val="0"/>
          <w:divBdr>
            <w:top w:val="none" w:sz="0" w:space="0" w:color="auto"/>
            <w:left w:val="none" w:sz="0" w:space="0" w:color="auto"/>
            <w:bottom w:val="none" w:sz="0" w:space="0" w:color="auto"/>
            <w:right w:val="none" w:sz="0" w:space="0" w:color="auto"/>
          </w:divBdr>
        </w:div>
        <w:div w:id="1995134184">
          <w:marLeft w:val="1166"/>
          <w:marRight w:val="0"/>
          <w:marTop w:val="0"/>
          <w:marBottom w:val="0"/>
          <w:divBdr>
            <w:top w:val="none" w:sz="0" w:space="0" w:color="auto"/>
            <w:left w:val="none" w:sz="0" w:space="0" w:color="auto"/>
            <w:bottom w:val="none" w:sz="0" w:space="0" w:color="auto"/>
            <w:right w:val="none" w:sz="0" w:space="0" w:color="auto"/>
          </w:divBdr>
        </w:div>
        <w:div w:id="1279139465">
          <w:marLeft w:val="1166"/>
          <w:marRight w:val="0"/>
          <w:marTop w:val="0"/>
          <w:marBottom w:val="0"/>
          <w:divBdr>
            <w:top w:val="none" w:sz="0" w:space="0" w:color="auto"/>
            <w:left w:val="none" w:sz="0" w:space="0" w:color="auto"/>
            <w:bottom w:val="none" w:sz="0" w:space="0" w:color="auto"/>
            <w:right w:val="none" w:sz="0" w:space="0" w:color="auto"/>
          </w:divBdr>
        </w:div>
        <w:div w:id="777725632">
          <w:marLeft w:val="1166"/>
          <w:marRight w:val="0"/>
          <w:marTop w:val="0"/>
          <w:marBottom w:val="0"/>
          <w:divBdr>
            <w:top w:val="none" w:sz="0" w:space="0" w:color="auto"/>
            <w:left w:val="none" w:sz="0" w:space="0" w:color="auto"/>
            <w:bottom w:val="none" w:sz="0" w:space="0" w:color="auto"/>
            <w:right w:val="none" w:sz="0" w:space="0" w:color="auto"/>
          </w:divBdr>
        </w:div>
        <w:div w:id="780682123">
          <w:marLeft w:val="1166"/>
          <w:marRight w:val="0"/>
          <w:marTop w:val="0"/>
          <w:marBottom w:val="0"/>
          <w:divBdr>
            <w:top w:val="none" w:sz="0" w:space="0" w:color="auto"/>
            <w:left w:val="none" w:sz="0" w:space="0" w:color="auto"/>
            <w:bottom w:val="none" w:sz="0" w:space="0" w:color="auto"/>
            <w:right w:val="none" w:sz="0" w:space="0" w:color="auto"/>
          </w:divBdr>
        </w:div>
        <w:div w:id="1638756687">
          <w:marLeft w:val="547"/>
          <w:marRight w:val="0"/>
          <w:marTop w:val="0"/>
          <w:marBottom w:val="0"/>
          <w:divBdr>
            <w:top w:val="none" w:sz="0" w:space="0" w:color="auto"/>
            <w:left w:val="none" w:sz="0" w:space="0" w:color="auto"/>
            <w:bottom w:val="none" w:sz="0" w:space="0" w:color="auto"/>
            <w:right w:val="none" w:sz="0" w:space="0" w:color="auto"/>
          </w:divBdr>
        </w:div>
        <w:div w:id="1074205289">
          <w:marLeft w:val="547"/>
          <w:marRight w:val="0"/>
          <w:marTop w:val="0"/>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3514754">
      <w:bodyDiv w:val="1"/>
      <w:marLeft w:val="0"/>
      <w:marRight w:val="0"/>
      <w:marTop w:val="0"/>
      <w:marBottom w:val="0"/>
      <w:divBdr>
        <w:top w:val="none" w:sz="0" w:space="0" w:color="auto"/>
        <w:left w:val="none" w:sz="0" w:space="0" w:color="auto"/>
        <w:bottom w:val="none" w:sz="0" w:space="0" w:color="auto"/>
        <w:right w:val="none" w:sz="0" w:space="0" w:color="auto"/>
      </w:divBdr>
      <w:divsChild>
        <w:div w:id="2059746113">
          <w:marLeft w:val="979"/>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6203885">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4289337">
      <w:bodyDiv w:val="1"/>
      <w:marLeft w:val="0"/>
      <w:marRight w:val="0"/>
      <w:marTop w:val="0"/>
      <w:marBottom w:val="0"/>
      <w:divBdr>
        <w:top w:val="none" w:sz="0" w:space="0" w:color="auto"/>
        <w:left w:val="none" w:sz="0" w:space="0" w:color="auto"/>
        <w:bottom w:val="none" w:sz="0" w:space="0" w:color="auto"/>
        <w:right w:val="none" w:sz="0" w:space="0" w:color="auto"/>
      </w:divBdr>
      <w:divsChild>
        <w:div w:id="1889565736">
          <w:marLeft w:val="547"/>
          <w:marRight w:val="0"/>
          <w:marTop w:val="0"/>
          <w:marBottom w:val="0"/>
          <w:divBdr>
            <w:top w:val="none" w:sz="0" w:space="0" w:color="auto"/>
            <w:left w:val="none" w:sz="0" w:space="0" w:color="auto"/>
            <w:bottom w:val="none" w:sz="0" w:space="0" w:color="auto"/>
            <w:right w:val="none" w:sz="0" w:space="0" w:color="auto"/>
          </w:divBdr>
        </w:div>
        <w:div w:id="1688479281">
          <w:marLeft w:val="547"/>
          <w:marRight w:val="0"/>
          <w:marTop w:val="0"/>
          <w:marBottom w:val="0"/>
          <w:divBdr>
            <w:top w:val="none" w:sz="0" w:space="0" w:color="auto"/>
            <w:left w:val="none" w:sz="0" w:space="0" w:color="auto"/>
            <w:bottom w:val="none" w:sz="0" w:space="0" w:color="auto"/>
            <w:right w:val="none" w:sz="0" w:space="0" w:color="auto"/>
          </w:divBdr>
        </w:div>
        <w:div w:id="542403507">
          <w:marLeft w:val="547"/>
          <w:marRight w:val="0"/>
          <w:marTop w:val="0"/>
          <w:marBottom w:val="0"/>
          <w:divBdr>
            <w:top w:val="none" w:sz="0" w:space="0" w:color="auto"/>
            <w:left w:val="none" w:sz="0" w:space="0" w:color="auto"/>
            <w:bottom w:val="none" w:sz="0" w:space="0" w:color="auto"/>
            <w:right w:val="none" w:sz="0" w:space="0" w:color="auto"/>
          </w:divBdr>
        </w:div>
      </w:divsChild>
    </w:div>
    <w:div w:id="1322155173">
      <w:bodyDiv w:val="1"/>
      <w:marLeft w:val="0"/>
      <w:marRight w:val="0"/>
      <w:marTop w:val="0"/>
      <w:marBottom w:val="0"/>
      <w:divBdr>
        <w:top w:val="none" w:sz="0" w:space="0" w:color="auto"/>
        <w:left w:val="none" w:sz="0" w:space="0" w:color="auto"/>
        <w:bottom w:val="none" w:sz="0" w:space="0" w:color="auto"/>
        <w:right w:val="none" w:sz="0" w:space="0" w:color="auto"/>
      </w:divBdr>
      <w:divsChild>
        <w:div w:id="1569992960">
          <w:marLeft w:val="547"/>
          <w:marRight w:val="0"/>
          <w:marTop w:val="0"/>
          <w:marBottom w:val="0"/>
          <w:divBdr>
            <w:top w:val="none" w:sz="0" w:space="0" w:color="auto"/>
            <w:left w:val="none" w:sz="0" w:space="0" w:color="auto"/>
            <w:bottom w:val="none" w:sz="0" w:space="0" w:color="auto"/>
            <w:right w:val="none" w:sz="0" w:space="0" w:color="auto"/>
          </w:divBdr>
        </w:div>
        <w:div w:id="790435330">
          <w:marLeft w:val="547"/>
          <w:marRight w:val="0"/>
          <w:marTop w:val="0"/>
          <w:marBottom w:val="0"/>
          <w:divBdr>
            <w:top w:val="none" w:sz="0" w:space="0" w:color="auto"/>
            <w:left w:val="none" w:sz="0" w:space="0" w:color="auto"/>
            <w:bottom w:val="none" w:sz="0" w:space="0" w:color="auto"/>
            <w:right w:val="none" w:sz="0" w:space="0" w:color="auto"/>
          </w:divBdr>
        </w:div>
      </w:divsChild>
    </w:div>
    <w:div w:id="1340506078">
      <w:bodyDiv w:val="1"/>
      <w:marLeft w:val="0"/>
      <w:marRight w:val="0"/>
      <w:marTop w:val="0"/>
      <w:marBottom w:val="0"/>
      <w:divBdr>
        <w:top w:val="none" w:sz="0" w:space="0" w:color="auto"/>
        <w:left w:val="none" w:sz="0" w:space="0" w:color="auto"/>
        <w:bottom w:val="none" w:sz="0" w:space="0" w:color="auto"/>
        <w:right w:val="none" w:sz="0" w:space="0" w:color="auto"/>
      </w:divBdr>
      <w:divsChild>
        <w:div w:id="58599779">
          <w:marLeft w:val="1267"/>
          <w:marRight w:val="0"/>
          <w:marTop w:val="50"/>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0935146">
      <w:bodyDiv w:val="1"/>
      <w:marLeft w:val="0"/>
      <w:marRight w:val="0"/>
      <w:marTop w:val="0"/>
      <w:marBottom w:val="0"/>
      <w:divBdr>
        <w:top w:val="none" w:sz="0" w:space="0" w:color="auto"/>
        <w:left w:val="none" w:sz="0" w:space="0" w:color="auto"/>
        <w:bottom w:val="none" w:sz="0" w:space="0" w:color="auto"/>
        <w:right w:val="none" w:sz="0" w:space="0" w:color="auto"/>
      </w:divBdr>
      <w:divsChild>
        <w:div w:id="1562791760">
          <w:marLeft w:val="979"/>
          <w:marRight w:val="0"/>
          <w:marTop w:val="50"/>
          <w:marBottom w:val="0"/>
          <w:divBdr>
            <w:top w:val="none" w:sz="0" w:space="0" w:color="auto"/>
            <w:left w:val="none" w:sz="0" w:space="0" w:color="auto"/>
            <w:bottom w:val="none" w:sz="0" w:space="0" w:color="auto"/>
            <w:right w:val="none" w:sz="0" w:space="0" w:color="auto"/>
          </w:divBdr>
        </w:div>
      </w:divsChild>
    </w:div>
    <w:div w:id="1366520181">
      <w:bodyDiv w:val="1"/>
      <w:marLeft w:val="0"/>
      <w:marRight w:val="0"/>
      <w:marTop w:val="0"/>
      <w:marBottom w:val="0"/>
      <w:divBdr>
        <w:top w:val="none" w:sz="0" w:space="0" w:color="auto"/>
        <w:left w:val="none" w:sz="0" w:space="0" w:color="auto"/>
        <w:bottom w:val="none" w:sz="0" w:space="0" w:color="auto"/>
        <w:right w:val="none" w:sz="0" w:space="0" w:color="auto"/>
      </w:divBdr>
      <w:divsChild>
        <w:div w:id="120657725">
          <w:marLeft w:val="547"/>
          <w:marRight w:val="0"/>
          <w:marTop w:val="0"/>
          <w:marBottom w:val="0"/>
          <w:divBdr>
            <w:top w:val="none" w:sz="0" w:space="0" w:color="auto"/>
            <w:left w:val="none" w:sz="0" w:space="0" w:color="auto"/>
            <w:bottom w:val="none" w:sz="0" w:space="0" w:color="auto"/>
            <w:right w:val="none" w:sz="0" w:space="0" w:color="auto"/>
          </w:divBdr>
        </w:div>
        <w:div w:id="1259749940">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58930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536360">
      <w:bodyDiv w:val="1"/>
      <w:marLeft w:val="0"/>
      <w:marRight w:val="0"/>
      <w:marTop w:val="0"/>
      <w:marBottom w:val="0"/>
      <w:divBdr>
        <w:top w:val="none" w:sz="0" w:space="0" w:color="auto"/>
        <w:left w:val="none" w:sz="0" w:space="0" w:color="auto"/>
        <w:bottom w:val="none" w:sz="0" w:space="0" w:color="auto"/>
        <w:right w:val="none" w:sz="0" w:space="0" w:color="auto"/>
      </w:divBdr>
      <w:divsChild>
        <w:div w:id="119804881">
          <w:marLeft w:val="547"/>
          <w:marRight w:val="0"/>
          <w:marTop w:val="0"/>
          <w:marBottom w:val="0"/>
          <w:divBdr>
            <w:top w:val="none" w:sz="0" w:space="0" w:color="auto"/>
            <w:left w:val="none" w:sz="0" w:space="0" w:color="auto"/>
            <w:bottom w:val="none" w:sz="0" w:space="0" w:color="auto"/>
            <w:right w:val="none" w:sz="0" w:space="0" w:color="auto"/>
          </w:divBdr>
        </w:div>
        <w:div w:id="728769643">
          <w:marLeft w:val="547"/>
          <w:marRight w:val="0"/>
          <w:marTop w:val="0"/>
          <w:marBottom w:val="0"/>
          <w:divBdr>
            <w:top w:val="none" w:sz="0" w:space="0" w:color="auto"/>
            <w:left w:val="none" w:sz="0" w:space="0" w:color="auto"/>
            <w:bottom w:val="none" w:sz="0" w:space="0" w:color="auto"/>
            <w:right w:val="none" w:sz="0" w:space="0" w:color="auto"/>
          </w:divBdr>
        </w:div>
        <w:div w:id="901253258">
          <w:marLeft w:val="1166"/>
          <w:marRight w:val="0"/>
          <w:marTop w:val="0"/>
          <w:marBottom w:val="0"/>
          <w:divBdr>
            <w:top w:val="none" w:sz="0" w:space="0" w:color="auto"/>
            <w:left w:val="none" w:sz="0" w:space="0" w:color="auto"/>
            <w:bottom w:val="none" w:sz="0" w:space="0" w:color="auto"/>
            <w:right w:val="none" w:sz="0" w:space="0" w:color="auto"/>
          </w:divBdr>
        </w:div>
        <w:div w:id="689570220">
          <w:marLeft w:val="1800"/>
          <w:marRight w:val="0"/>
          <w:marTop w:val="0"/>
          <w:marBottom w:val="0"/>
          <w:divBdr>
            <w:top w:val="none" w:sz="0" w:space="0" w:color="auto"/>
            <w:left w:val="none" w:sz="0" w:space="0" w:color="auto"/>
            <w:bottom w:val="none" w:sz="0" w:space="0" w:color="auto"/>
            <w:right w:val="none" w:sz="0" w:space="0" w:color="auto"/>
          </w:divBdr>
        </w:div>
        <w:div w:id="1550847926">
          <w:marLeft w:val="1800"/>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5252796">
      <w:bodyDiv w:val="1"/>
      <w:marLeft w:val="0"/>
      <w:marRight w:val="0"/>
      <w:marTop w:val="0"/>
      <w:marBottom w:val="0"/>
      <w:divBdr>
        <w:top w:val="none" w:sz="0" w:space="0" w:color="auto"/>
        <w:left w:val="none" w:sz="0" w:space="0" w:color="auto"/>
        <w:bottom w:val="none" w:sz="0" w:space="0" w:color="auto"/>
        <w:right w:val="none" w:sz="0" w:space="0" w:color="auto"/>
      </w:divBdr>
      <w:divsChild>
        <w:div w:id="1767073905">
          <w:marLeft w:val="706"/>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277526">
      <w:bodyDiv w:val="1"/>
      <w:marLeft w:val="0"/>
      <w:marRight w:val="0"/>
      <w:marTop w:val="0"/>
      <w:marBottom w:val="0"/>
      <w:divBdr>
        <w:top w:val="none" w:sz="0" w:space="0" w:color="auto"/>
        <w:left w:val="none" w:sz="0" w:space="0" w:color="auto"/>
        <w:bottom w:val="none" w:sz="0" w:space="0" w:color="auto"/>
        <w:right w:val="none" w:sz="0" w:space="0" w:color="auto"/>
      </w:divBdr>
      <w:divsChild>
        <w:div w:id="1644235469">
          <w:marLeft w:val="547"/>
          <w:marRight w:val="0"/>
          <w:marTop w:val="0"/>
          <w:marBottom w:val="0"/>
          <w:divBdr>
            <w:top w:val="none" w:sz="0" w:space="0" w:color="auto"/>
            <w:left w:val="none" w:sz="0" w:space="0" w:color="auto"/>
            <w:bottom w:val="none" w:sz="0" w:space="0" w:color="auto"/>
            <w:right w:val="none" w:sz="0" w:space="0" w:color="auto"/>
          </w:divBdr>
        </w:div>
        <w:div w:id="1725252607">
          <w:marLeft w:val="1166"/>
          <w:marRight w:val="0"/>
          <w:marTop w:val="0"/>
          <w:marBottom w:val="0"/>
          <w:divBdr>
            <w:top w:val="none" w:sz="0" w:space="0" w:color="auto"/>
            <w:left w:val="none" w:sz="0" w:space="0" w:color="auto"/>
            <w:bottom w:val="none" w:sz="0" w:space="0" w:color="auto"/>
            <w:right w:val="none" w:sz="0" w:space="0" w:color="auto"/>
          </w:divBdr>
        </w:div>
        <w:div w:id="750347100">
          <w:marLeft w:val="1166"/>
          <w:marRight w:val="0"/>
          <w:marTop w:val="0"/>
          <w:marBottom w:val="0"/>
          <w:divBdr>
            <w:top w:val="none" w:sz="0" w:space="0" w:color="auto"/>
            <w:left w:val="none" w:sz="0" w:space="0" w:color="auto"/>
            <w:bottom w:val="none" w:sz="0" w:space="0" w:color="auto"/>
            <w:right w:val="none" w:sz="0" w:space="0" w:color="auto"/>
          </w:divBdr>
        </w:div>
        <w:div w:id="576600341">
          <w:marLeft w:val="1166"/>
          <w:marRight w:val="0"/>
          <w:marTop w:val="0"/>
          <w:marBottom w:val="0"/>
          <w:divBdr>
            <w:top w:val="none" w:sz="0" w:space="0" w:color="auto"/>
            <w:left w:val="none" w:sz="0" w:space="0" w:color="auto"/>
            <w:bottom w:val="none" w:sz="0" w:space="0" w:color="auto"/>
            <w:right w:val="none" w:sz="0" w:space="0" w:color="auto"/>
          </w:divBdr>
        </w:div>
        <w:div w:id="1664357930">
          <w:marLeft w:val="1166"/>
          <w:marRight w:val="0"/>
          <w:marTop w:val="0"/>
          <w:marBottom w:val="0"/>
          <w:divBdr>
            <w:top w:val="none" w:sz="0" w:space="0" w:color="auto"/>
            <w:left w:val="none" w:sz="0" w:space="0" w:color="auto"/>
            <w:bottom w:val="none" w:sz="0" w:space="0" w:color="auto"/>
            <w:right w:val="none" w:sz="0" w:space="0" w:color="auto"/>
          </w:divBdr>
        </w:div>
        <w:div w:id="1872761771">
          <w:marLeft w:val="547"/>
          <w:marRight w:val="0"/>
          <w:marTop w:val="0"/>
          <w:marBottom w:val="0"/>
          <w:divBdr>
            <w:top w:val="none" w:sz="0" w:space="0" w:color="auto"/>
            <w:left w:val="none" w:sz="0" w:space="0" w:color="auto"/>
            <w:bottom w:val="none" w:sz="0" w:space="0" w:color="auto"/>
            <w:right w:val="none" w:sz="0" w:space="0" w:color="auto"/>
          </w:divBdr>
        </w:div>
        <w:div w:id="1890070297">
          <w:marLeft w:val="547"/>
          <w:marRight w:val="0"/>
          <w:marTop w:val="0"/>
          <w:marBottom w:val="0"/>
          <w:divBdr>
            <w:top w:val="none" w:sz="0" w:space="0" w:color="auto"/>
            <w:left w:val="none" w:sz="0" w:space="0" w:color="auto"/>
            <w:bottom w:val="none" w:sz="0" w:space="0" w:color="auto"/>
            <w:right w:val="none" w:sz="0" w:space="0" w:color="auto"/>
          </w:divBdr>
        </w:div>
      </w:divsChild>
    </w:div>
    <w:div w:id="1472285514">
      <w:bodyDiv w:val="1"/>
      <w:marLeft w:val="0"/>
      <w:marRight w:val="0"/>
      <w:marTop w:val="0"/>
      <w:marBottom w:val="0"/>
      <w:divBdr>
        <w:top w:val="none" w:sz="0" w:space="0" w:color="auto"/>
        <w:left w:val="none" w:sz="0" w:space="0" w:color="auto"/>
        <w:bottom w:val="none" w:sz="0" w:space="0" w:color="auto"/>
        <w:right w:val="none" w:sz="0" w:space="0" w:color="auto"/>
      </w:divBdr>
      <w:divsChild>
        <w:div w:id="1766611830">
          <w:marLeft w:val="706"/>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436643">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3856096">
      <w:bodyDiv w:val="1"/>
      <w:marLeft w:val="0"/>
      <w:marRight w:val="0"/>
      <w:marTop w:val="0"/>
      <w:marBottom w:val="0"/>
      <w:divBdr>
        <w:top w:val="none" w:sz="0" w:space="0" w:color="auto"/>
        <w:left w:val="none" w:sz="0" w:space="0" w:color="auto"/>
        <w:bottom w:val="none" w:sz="0" w:space="0" w:color="auto"/>
        <w:right w:val="none" w:sz="0" w:space="0" w:color="auto"/>
      </w:divBdr>
      <w:divsChild>
        <w:div w:id="613757628">
          <w:marLeft w:val="547"/>
          <w:marRight w:val="0"/>
          <w:marTop w:val="0"/>
          <w:marBottom w:val="0"/>
          <w:divBdr>
            <w:top w:val="none" w:sz="0" w:space="0" w:color="auto"/>
            <w:left w:val="none" w:sz="0" w:space="0" w:color="auto"/>
            <w:bottom w:val="none" w:sz="0" w:space="0" w:color="auto"/>
            <w:right w:val="none" w:sz="0" w:space="0" w:color="auto"/>
          </w:divBdr>
        </w:div>
        <w:div w:id="2050252493">
          <w:marLeft w:val="1166"/>
          <w:marRight w:val="0"/>
          <w:marTop w:val="0"/>
          <w:marBottom w:val="0"/>
          <w:divBdr>
            <w:top w:val="none" w:sz="0" w:space="0" w:color="auto"/>
            <w:left w:val="none" w:sz="0" w:space="0" w:color="auto"/>
            <w:bottom w:val="none" w:sz="0" w:space="0" w:color="auto"/>
            <w:right w:val="none" w:sz="0" w:space="0" w:color="auto"/>
          </w:divBdr>
        </w:div>
        <w:div w:id="802506317">
          <w:marLeft w:val="1166"/>
          <w:marRight w:val="0"/>
          <w:marTop w:val="0"/>
          <w:marBottom w:val="0"/>
          <w:divBdr>
            <w:top w:val="none" w:sz="0" w:space="0" w:color="auto"/>
            <w:left w:val="none" w:sz="0" w:space="0" w:color="auto"/>
            <w:bottom w:val="none" w:sz="0" w:space="0" w:color="auto"/>
            <w:right w:val="none" w:sz="0" w:space="0" w:color="auto"/>
          </w:divBdr>
        </w:div>
        <w:div w:id="542062545">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1286574">
      <w:bodyDiv w:val="1"/>
      <w:marLeft w:val="0"/>
      <w:marRight w:val="0"/>
      <w:marTop w:val="0"/>
      <w:marBottom w:val="0"/>
      <w:divBdr>
        <w:top w:val="none" w:sz="0" w:space="0" w:color="auto"/>
        <w:left w:val="none" w:sz="0" w:space="0" w:color="auto"/>
        <w:bottom w:val="none" w:sz="0" w:space="0" w:color="auto"/>
        <w:right w:val="none" w:sz="0" w:space="0" w:color="auto"/>
      </w:divBdr>
      <w:divsChild>
        <w:div w:id="2133160365">
          <w:marLeft w:val="547"/>
          <w:marRight w:val="0"/>
          <w:marTop w:val="0"/>
          <w:marBottom w:val="0"/>
          <w:divBdr>
            <w:top w:val="none" w:sz="0" w:space="0" w:color="auto"/>
            <w:left w:val="none" w:sz="0" w:space="0" w:color="auto"/>
            <w:bottom w:val="none" w:sz="0" w:space="0" w:color="auto"/>
            <w:right w:val="none" w:sz="0" w:space="0" w:color="auto"/>
          </w:divBdr>
        </w:div>
        <w:div w:id="574583812">
          <w:marLeft w:val="547"/>
          <w:marRight w:val="0"/>
          <w:marTop w:val="0"/>
          <w:marBottom w:val="0"/>
          <w:divBdr>
            <w:top w:val="none" w:sz="0" w:space="0" w:color="auto"/>
            <w:left w:val="none" w:sz="0" w:space="0" w:color="auto"/>
            <w:bottom w:val="none" w:sz="0" w:space="0" w:color="auto"/>
            <w:right w:val="none" w:sz="0" w:space="0" w:color="auto"/>
          </w:divBdr>
        </w:div>
        <w:div w:id="1715155950">
          <w:marLeft w:val="547"/>
          <w:marRight w:val="0"/>
          <w:marTop w:val="0"/>
          <w:marBottom w:val="0"/>
          <w:divBdr>
            <w:top w:val="none" w:sz="0" w:space="0" w:color="auto"/>
            <w:left w:val="none" w:sz="0" w:space="0" w:color="auto"/>
            <w:bottom w:val="none" w:sz="0" w:space="0" w:color="auto"/>
            <w:right w:val="none" w:sz="0" w:space="0" w:color="auto"/>
          </w:divBdr>
        </w:div>
      </w:divsChild>
    </w:div>
    <w:div w:id="1542135712">
      <w:bodyDiv w:val="1"/>
      <w:marLeft w:val="0"/>
      <w:marRight w:val="0"/>
      <w:marTop w:val="0"/>
      <w:marBottom w:val="0"/>
      <w:divBdr>
        <w:top w:val="none" w:sz="0" w:space="0" w:color="auto"/>
        <w:left w:val="none" w:sz="0" w:space="0" w:color="auto"/>
        <w:bottom w:val="none" w:sz="0" w:space="0" w:color="auto"/>
        <w:right w:val="none" w:sz="0" w:space="0" w:color="auto"/>
      </w:divBdr>
      <w:divsChild>
        <w:div w:id="1030257914">
          <w:marLeft w:val="1267"/>
          <w:marRight w:val="0"/>
          <w:marTop w:val="50"/>
          <w:marBottom w:val="0"/>
          <w:divBdr>
            <w:top w:val="none" w:sz="0" w:space="0" w:color="auto"/>
            <w:left w:val="none" w:sz="0" w:space="0" w:color="auto"/>
            <w:bottom w:val="none" w:sz="0" w:space="0" w:color="auto"/>
            <w:right w:val="none" w:sz="0" w:space="0" w:color="auto"/>
          </w:divBdr>
        </w:div>
        <w:div w:id="1989433782">
          <w:marLeft w:val="1267"/>
          <w:marRight w:val="0"/>
          <w:marTop w:val="50"/>
          <w:marBottom w:val="0"/>
          <w:divBdr>
            <w:top w:val="none" w:sz="0" w:space="0" w:color="auto"/>
            <w:left w:val="none" w:sz="0" w:space="0" w:color="auto"/>
            <w:bottom w:val="none" w:sz="0" w:space="0" w:color="auto"/>
            <w:right w:val="none" w:sz="0" w:space="0" w:color="auto"/>
          </w:divBdr>
        </w:div>
        <w:div w:id="1257059824">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4989267">
      <w:bodyDiv w:val="1"/>
      <w:marLeft w:val="0"/>
      <w:marRight w:val="0"/>
      <w:marTop w:val="0"/>
      <w:marBottom w:val="0"/>
      <w:divBdr>
        <w:top w:val="none" w:sz="0" w:space="0" w:color="auto"/>
        <w:left w:val="none" w:sz="0" w:space="0" w:color="auto"/>
        <w:bottom w:val="none" w:sz="0" w:space="0" w:color="auto"/>
        <w:right w:val="none" w:sz="0" w:space="0" w:color="auto"/>
      </w:divBdr>
      <w:divsChild>
        <w:div w:id="358821625">
          <w:marLeft w:val="706"/>
          <w:marRight w:val="0"/>
          <w:marTop w:val="58"/>
          <w:marBottom w:val="0"/>
          <w:divBdr>
            <w:top w:val="none" w:sz="0" w:space="0" w:color="auto"/>
            <w:left w:val="none" w:sz="0" w:space="0" w:color="auto"/>
            <w:bottom w:val="none" w:sz="0" w:space="0" w:color="auto"/>
            <w:right w:val="none" w:sz="0" w:space="0" w:color="auto"/>
          </w:divBdr>
        </w:div>
        <w:div w:id="1570919782">
          <w:marLeft w:val="706"/>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8097599">
      <w:bodyDiv w:val="1"/>
      <w:marLeft w:val="0"/>
      <w:marRight w:val="0"/>
      <w:marTop w:val="0"/>
      <w:marBottom w:val="0"/>
      <w:divBdr>
        <w:top w:val="none" w:sz="0" w:space="0" w:color="auto"/>
        <w:left w:val="none" w:sz="0" w:space="0" w:color="auto"/>
        <w:bottom w:val="none" w:sz="0" w:space="0" w:color="auto"/>
        <w:right w:val="none" w:sz="0" w:space="0" w:color="auto"/>
      </w:divBdr>
      <w:divsChild>
        <w:div w:id="1173912897">
          <w:marLeft w:val="547"/>
          <w:marRight w:val="0"/>
          <w:marTop w:val="0"/>
          <w:marBottom w:val="0"/>
          <w:divBdr>
            <w:top w:val="none" w:sz="0" w:space="0" w:color="auto"/>
            <w:left w:val="none" w:sz="0" w:space="0" w:color="auto"/>
            <w:bottom w:val="none" w:sz="0" w:space="0" w:color="auto"/>
            <w:right w:val="none" w:sz="0" w:space="0" w:color="auto"/>
          </w:divBdr>
        </w:div>
        <w:div w:id="977761434">
          <w:marLeft w:val="547"/>
          <w:marRight w:val="0"/>
          <w:marTop w:val="0"/>
          <w:marBottom w:val="0"/>
          <w:divBdr>
            <w:top w:val="none" w:sz="0" w:space="0" w:color="auto"/>
            <w:left w:val="none" w:sz="0" w:space="0" w:color="auto"/>
            <w:bottom w:val="none" w:sz="0" w:space="0" w:color="auto"/>
            <w:right w:val="none" w:sz="0" w:space="0" w:color="auto"/>
          </w:divBdr>
        </w:div>
      </w:divsChild>
    </w:div>
    <w:div w:id="1611622399">
      <w:bodyDiv w:val="1"/>
      <w:marLeft w:val="0"/>
      <w:marRight w:val="0"/>
      <w:marTop w:val="0"/>
      <w:marBottom w:val="0"/>
      <w:divBdr>
        <w:top w:val="none" w:sz="0" w:space="0" w:color="auto"/>
        <w:left w:val="none" w:sz="0" w:space="0" w:color="auto"/>
        <w:bottom w:val="none" w:sz="0" w:space="0" w:color="auto"/>
        <w:right w:val="none" w:sz="0" w:space="0" w:color="auto"/>
      </w:divBdr>
      <w:divsChild>
        <w:div w:id="1124155946">
          <w:marLeft w:val="547"/>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156091">
      <w:bodyDiv w:val="1"/>
      <w:marLeft w:val="0"/>
      <w:marRight w:val="0"/>
      <w:marTop w:val="0"/>
      <w:marBottom w:val="0"/>
      <w:divBdr>
        <w:top w:val="none" w:sz="0" w:space="0" w:color="auto"/>
        <w:left w:val="none" w:sz="0" w:space="0" w:color="auto"/>
        <w:bottom w:val="none" w:sz="0" w:space="0" w:color="auto"/>
        <w:right w:val="none" w:sz="0" w:space="0" w:color="auto"/>
      </w:divBdr>
      <w:divsChild>
        <w:div w:id="1028028750">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4883687">
      <w:bodyDiv w:val="1"/>
      <w:marLeft w:val="0"/>
      <w:marRight w:val="0"/>
      <w:marTop w:val="0"/>
      <w:marBottom w:val="0"/>
      <w:divBdr>
        <w:top w:val="none" w:sz="0" w:space="0" w:color="auto"/>
        <w:left w:val="none" w:sz="0" w:space="0" w:color="auto"/>
        <w:bottom w:val="none" w:sz="0" w:space="0" w:color="auto"/>
        <w:right w:val="none" w:sz="0" w:space="0" w:color="auto"/>
      </w:divBdr>
      <w:divsChild>
        <w:div w:id="1754159593">
          <w:marLeft w:val="706"/>
          <w:marRight w:val="0"/>
          <w:marTop w:val="67"/>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032023">
      <w:bodyDiv w:val="1"/>
      <w:marLeft w:val="0"/>
      <w:marRight w:val="0"/>
      <w:marTop w:val="0"/>
      <w:marBottom w:val="0"/>
      <w:divBdr>
        <w:top w:val="none" w:sz="0" w:space="0" w:color="auto"/>
        <w:left w:val="none" w:sz="0" w:space="0" w:color="auto"/>
        <w:bottom w:val="none" w:sz="0" w:space="0" w:color="auto"/>
        <w:right w:val="none" w:sz="0" w:space="0" w:color="auto"/>
      </w:divBdr>
      <w:divsChild>
        <w:div w:id="912424114">
          <w:marLeft w:val="547"/>
          <w:marRight w:val="0"/>
          <w:marTop w:val="0"/>
          <w:marBottom w:val="0"/>
          <w:divBdr>
            <w:top w:val="none" w:sz="0" w:space="0" w:color="auto"/>
            <w:left w:val="none" w:sz="0" w:space="0" w:color="auto"/>
            <w:bottom w:val="none" w:sz="0" w:space="0" w:color="auto"/>
            <w:right w:val="none" w:sz="0" w:space="0" w:color="auto"/>
          </w:divBdr>
        </w:div>
        <w:div w:id="1113288865">
          <w:marLeft w:val="547"/>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2061277">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222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6130754">
      <w:bodyDiv w:val="1"/>
      <w:marLeft w:val="0"/>
      <w:marRight w:val="0"/>
      <w:marTop w:val="0"/>
      <w:marBottom w:val="0"/>
      <w:divBdr>
        <w:top w:val="none" w:sz="0" w:space="0" w:color="auto"/>
        <w:left w:val="none" w:sz="0" w:space="0" w:color="auto"/>
        <w:bottom w:val="none" w:sz="0" w:space="0" w:color="auto"/>
        <w:right w:val="none" w:sz="0" w:space="0" w:color="auto"/>
      </w:divBdr>
      <w:divsChild>
        <w:div w:id="914969253">
          <w:marLeft w:val="547"/>
          <w:marRight w:val="0"/>
          <w:marTop w:val="0"/>
          <w:marBottom w:val="0"/>
          <w:divBdr>
            <w:top w:val="none" w:sz="0" w:space="0" w:color="auto"/>
            <w:left w:val="none" w:sz="0" w:space="0" w:color="auto"/>
            <w:bottom w:val="none" w:sz="0" w:space="0" w:color="auto"/>
            <w:right w:val="none" w:sz="0" w:space="0" w:color="auto"/>
          </w:divBdr>
        </w:div>
        <w:div w:id="1193416008">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6514879">
      <w:bodyDiv w:val="1"/>
      <w:marLeft w:val="0"/>
      <w:marRight w:val="0"/>
      <w:marTop w:val="0"/>
      <w:marBottom w:val="0"/>
      <w:divBdr>
        <w:top w:val="none" w:sz="0" w:space="0" w:color="auto"/>
        <w:left w:val="none" w:sz="0" w:space="0" w:color="auto"/>
        <w:bottom w:val="none" w:sz="0" w:space="0" w:color="auto"/>
        <w:right w:val="none" w:sz="0" w:space="0" w:color="auto"/>
      </w:divBdr>
      <w:divsChild>
        <w:div w:id="728072029">
          <w:marLeft w:val="547"/>
          <w:marRight w:val="0"/>
          <w:marTop w:val="0"/>
          <w:marBottom w:val="0"/>
          <w:divBdr>
            <w:top w:val="none" w:sz="0" w:space="0" w:color="auto"/>
            <w:left w:val="none" w:sz="0" w:space="0" w:color="auto"/>
            <w:bottom w:val="none" w:sz="0" w:space="0" w:color="auto"/>
            <w:right w:val="none" w:sz="0" w:space="0" w:color="auto"/>
          </w:divBdr>
        </w:div>
        <w:div w:id="1689212948">
          <w:marLeft w:val="547"/>
          <w:marRight w:val="0"/>
          <w:marTop w:val="0"/>
          <w:marBottom w:val="0"/>
          <w:divBdr>
            <w:top w:val="none" w:sz="0" w:space="0" w:color="auto"/>
            <w:left w:val="none" w:sz="0" w:space="0" w:color="auto"/>
            <w:bottom w:val="none" w:sz="0" w:space="0" w:color="auto"/>
            <w:right w:val="none" w:sz="0" w:space="0" w:color="auto"/>
          </w:divBdr>
        </w:div>
        <w:div w:id="1371103372">
          <w:marLeft w:val="547"/>
          <w:marRight w:val="0"/>
          <w:marTop w:val="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8526831">
      <w:bodyDiv w:val="1"/>
      <w:marLeft w:val="0"/>
      <w:marRight w:val="0"/>
      <w:marTop w:val="0"/>
      <w:marBottom w:val="0"/>
      <w:divBdr>
        <w:top w:val="none" w:sz="0" w:space="0" w:color="auto"/>
        <w:left w:val="none" w:sz="0" w:space="0" w:color="auto"/>
        <w:bottom w:val="none" w:sz="0" w:space="0" w:color="auto"/>
        <w:right w:val="none" w:sz="0" w:space="0" w:color="auto"/>
      </w:divBdr>
    </w:div>
    <w:div w:id="2139183150">
      <w:bodyDiv w:val="1"/>
      <w:marLeft w:val="0"/>
      <w:marRight w:val="0"/>
      <w:marTop w:val="0"/>
      <w:marBottom w:val="0"/>
      <w:divBdr>
        <w:top w:val="none" w:sz="0" w:space="0" w:color="auto"/>
        <w:left w:val="none" w:sz="0" w:space="0" w:color="auto"/>
        <w:bottom w:val="none" w:sz="0" w:space="0" w:color="auto"/>
        <w:right w:val="none" w:sz="0" w:space="0" w:color="auto"/>
      </w:divBdr>
      <w:divsChild>
        <w:div w:id="1290359186">
          <w:marLeft w:val="706"/>
          <w:marRight w:val="0"/>
          <w:marTop w:val="53"/>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011F1-5FFA-4891-ABC7-C4E2DF216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6</Pages>
  <Words>2975</Words>
  <Characters>16959</Characters>
  <Application>Microsoft Office Word</Application>
  <DocSecurity>0</DocSecurity>
  <Lines>141</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吉岡　翔平(yoshioka shohei)</cp:lastModifiedBy>
  <cp:revision>36</cp:revision>
  <cp:lastPrinted>2016-09-21T11:03:00Z</cp:lastPrinted>
  <dcterms:created xsi:type="dcterms:W3CDTF">2021-11-03T05:37:00Z</dcterms:created>
  <dcterms:modified xsi:type="dcterms:W3CDTF">2022-02-14T10:30:00Z</dcterms:modified>
</cp:coreProperties>
</file>